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FinVolution Group</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Building G1, No. 999 Dangui Road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Pudong New District, Shanghai 201203</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0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FinVolution Group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Jiayuan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Jiayuan Xu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ind w:left="5140"/>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Release—FinVolution Group Reports First Quarter 2026 Unaudited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99.2—Press Release—FinVolution Group Announces New Share Repurchase Program of Up to US$150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FinVolution Group Reports First Quarter 2026 Unaudited Financial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SHANGHAI, May 25, 2026 /PRNewswire/ — FinVolution Group (“FinVolution” or the “Company”) (NYSE: FINV), a leading fintech platform across China and overseas markets, today announced its unaudited financial results for the first quarter ended March 31,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400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Three Months Ended/As of</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YoY</w:t>
            </w:r>
          </w:p>
        </w:tc>
      </w:tr>
      <w:tr>
        <w:trPr>
          <w:trHeight w:val="223"/>
        </w:trPr>
        <w:tc>
          <w:tcPr>
            <w:tcW w:w="538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2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80" w:type="dxa"/>
            <w:vAlign w:val="bottom"/>
            <w:tcBorders>
              <w:bottom w:val="single" w:sz="8" w:color="CCEEFF"/>
            </w:tcBorders>
          </w:tcPr>
          <w:p>
            <w:pPr>
              <w:spacing w:after="0"/>
              <w:rPr>
                <w:sz w:val="19"/>
                <w:szCs w:val="19"/>
                <w:color w:val="auto"/>
              </w:rPr>
            </w:pPr>
          </w:p>
        </w:tc>
      </w:tr>
      <w:tr>
        <w:trPr>
          <w:trHeight w:val="237"/>
        </w:trPr>
        <w:tc>
          <w:tcPr>
            <w:tcW w:w="53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Total Transaction Volume (RMB in billions)</w:t>
            </w:r>
            <w:r>
              <w:rPr>
                <w:rFonts w:ascii="Times New Roman" w:cs="Times New Roman" w:eastAsia="Times New Roman" w:hAnsi="Times New Roman"/>
                <w:sz w:val="27"/>
                <w:szCs w:val="27"/>
                <w:b w:val="1"/>
                <w:bCs w:val="1"/>
                <w:color w:val="auto"/>
                <w:vertAlign w:val="superscript"/>
              </w:rPr>
              <w:t>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52.1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42.6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r>
      <w:tr>
        <w:trPr>
          <w:trHeight w:val="256"/>
        </w:trPr>
        <w:tc>
          <w:tcPr>
            <w:tcW w:w="53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Chinese Mainland</w:t>
            </w:r>
            <w:r>
              <w:rPr>
                <w:rFonts w:ascii="Times New Roman" w:cs="Times New Roman" w:eastAsia="Times New Roman" w:hAnsi="Times New Roman"/>
                <w:sz w:val="29"/>
                <w:szCs w:val="29"/>
                <w:color w:val="auto"/>
                <w:vertAlign w:val="superscript"/>
              </w:rPr>
              <w:t>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r>
      <w:tr>
        <w:trPr>
          <w:trHeight w:val="257"/>
        </w:trPr>
        <w:tc>
          <w:tcPr>
            <w:tcW w:w="5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Overseas Markets</w:t>
            </w:r>
            <w:r>
              <w:rPr>
                <w:rFonts w:ascii="Times New Roman" w:cs="Times New Roman" w:eastAsia="Times New Roman" w:hAnsi="Times New Roman"/>
                <w:sz w:val="29"/>
                <w:szCs w:val="29"/>
                <w:color w:val="auto"/>
                <w:vertAlign w:val="superscript"/>
              </w:rPr>
              <w:t>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w:t>
            </w: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5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Outstanding Loan Balance (RMB in billions)</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74.1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67.7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r>
      <w:tr>
        <w:trPr>
          <w:trHeight w:val="257"/>
        </w:trPr>
        <w:tc>
          <w:tcPr>
            <w:tcW w:w="53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Chinese Mainland</w:t>
            </w:r>
            <w:r>
              <w:rPr>
                <w:rFonts w:ascii="Times New Roman" w:cs="Times New Roman" w:eastAsia="Times New Roman" w:hAnsi="Times New Roman"/>
                <w:sz w:val="29"/>
                <w:szCs w:val="29"/>
                <w:color w:val="auto"/>
                <w:vertAlign w:val="superscript"/>
              </w:rPr>
              <w:t>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65.1</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70"/>
        </w:trPr>
        <w:tc>
          <w:tcPr>
            <w:tcW w:w="53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Overseas Markets</w:t>
            </w:r>
            <w:r>
              <w:rPr>
                <w:rFonts w:ascii="Times New Roman" w:cs="Times New Roman" w:eastAsia="Times New Roman" w:hAnsi="Times New Roman"/>
                <w:sz w:val="29"/>
                <w:szCs w:val="29"/>
                <w:color w:val="auto"/>
                <w:vertAlign w:val="superscript"/>
              </w:rPr>
              <w:t>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r>
      <w:tr>
        <w:trPr>
          <w:trHeight w:val="20"/>
        </w:trPr>
        <w:tc>
          <w:tcPr>
            <w:tcW w:w="53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Chinese Mainland Market</w:t>
      </w:r>
    </w:p>
    <w:p>
      <w:pPr>
        <w:spacing w:after="0" w:line="229"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registered users reached 190.0 million as of March 31, 2026, an increase of 7.2% compared with March 31, 2025.</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borrowers reached 29.6 million as of March 31, 2026, an increase of 8.4% compared with March 31, 2025.</w:t>
      </w:r>
    </w:p>
    <w:p>
      <w:pPr>
        <w:spacing w:after="0" w:line="9" w:lineRule="exact"/>
        <w:rPr>
          <w:rFonts w:ascii="Times New Roman" w:cs="Times New Roman" w:eastAsia="Times New Roman" w:hAnsi="Times New Roman"/>
          <w:sz w:val="18"/>
          <w:szCs w:val="18"/>
          <w:color w:val="auto"/>
        </w:rPr>
      </w:pPr>
    </w:p>
    <w:p>
      <w:pPr>
        <w:ind w:left="340" w:hanging="332"/>
        <w:spacing w:after="0" w:line="183" w:lineRule="auto"/>
        <w:tabs>
          <w:tab w:leader="none" w:pos="340" w:val="left"/>
        </w:tabs>
        <w:numPr>
          <w:ilvl w:val="0"/>
          <w:numId w:val="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Number of unique borrowers</w:t>
      </w:r>
      <w:r>
        <w:rPr>
          <w:rFonts w:ascii="Times New Roman" w:cs="Times New Roman" w:eastAsia="Times New Roman" w:hAnsi="Times New Roman"/>
          <w:sz w:val="27"/>
          <w:szCs w:val="27"/>
          <w:color w:val="auto"/>
          <w:vertAlign w:val="superscript"/>
        </w:rPr>
        <w:t>6</w:t>
      </w:r>
      <w:r>
        <w:rPr>
          <w:rFonts w:ascii="Times New Roman" w:cs="Times New Roman" w:eastAsia="Times New Roman" w:hAnsi="Times New Roman"/>
          <w:sz w:val="17"/>
          <w:szCs w:val="17"/>
          <w:color w:val="auto"/>
        </w:rPr>
        <w:t xml:space="preserve"> for the first quarter of 2026 was 1.7 million, a decrease of 22.7% compared with the same period of 2025.</w:t>
      </w:r>
    </w:p>
    <w:p>
      <w:pPr>
        <w:ind w:left="340" w:hanging="332"/>
        <w:spacing w:after="0" w:line="191" w:lineRule="auto"/>
        <w:tabs>
          <w:tab w:leader="none" w:pos="340" w:val="left"/>
        </w:tabs>
        <w:numPr>
          <w:ilvl w:val="0"/>
          <w:numId w:val="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Transaction volume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was RMB38.5 billion for the first quarter of 2026, a decrease of 21.6% compared with the same period of 2025.</w:t>
      </w:r>
    </w:p>
    <w:p>
      <w:pPr>
        <w:ind w:left="340" w:hanging="332"/>
        <w:spacing w:after="0" w:line="187" w:lineRule="auto"/>
        <w:tabs>
          <w:tab w:leader="none" w:pos="340" w:val="left"/>
        </w:tabs>
        <w:numPr>
          <w:ilvl w:val="0"/>
          <w:numId w:val="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Transaction volume facilitated for repeat individual borrowers</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6"/>
          <w:szCs w:val="16"/>
          <w:color w:val="auto"/>
        </w:rPr>
        <w:t xml:space="preserve"> for the first quarter of 2026 was RMB31.4 billion, a decrease of 26.3% compared with the same period of 2025.</w:t>
      </w:r>
    </w:p>
    <w:p>
      <w:pPr>
        <w:ind w:left="340" w:hanging="332"/>
        <w:spacing w:after="0" w:line="192" w:lineRule="auto"/>
        <w:tabs>
          <w:tab w:leader="none" w:pos="340" w:val="left"/>
        </w:tabs>
        <w:numPr>
          <w:ilvl w:val="0"/>
          <w:numId w:val="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Outstanding loan balance</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5"/>
          <w:szCs w:val="15"/>
          <w:color w:val="auto"/>
        </w:rPr>
        <w:t xml:space="preserve"> was RMB65.1 billion as of March 31, 2026, a decrease of 9.8% compared with March 31, 2025.</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 size was RMB12,098 for the first quarter of 2026, compared with RMB10,494 for the same period of 2025.</w:t>
      </w:r>
    </w:p>
    <w:p>
      <w:pPr>
        <w:spacing w:after="0" w:line="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 tenure was 8.5 months for the first quarter of 2026, compared with 8.2 months for the same period of 2025.</w:t>
      </w:r>
    </w:p>
    <w:p>
      <w:pPr>
        <w:spacing w:after="0" w:line="9" w:lineRule="exact"/>
        <w:rPr>
          <w:rFonts w:ascii="Times New Roman" w:cs="Times New Roman" w:eastAsia="Times New Roman" w:hAnsi="Times New Roman"/>
          <w:sz w:val="18"/>
          <w:szCs w:val="18"/>
          <w:color w:val="auto"/>
        </w:rPr>
      </w:pPr>
    </w:p>
    <w:p>
      <w:pPr>
        <w:ind w:left="340" w:hanging="332"/>
        <w:spacing w:after="0" w:line="183" w:lineRule="auto"/>
        <w:tabs>
          <w:tab w:leader="none" w:pos="340" w:val="left"/>
        </w:tabs>
        <w:numPr>
          <w:ilvl w:val="0"/>
          <w:numId w:val="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90 day+ delinquency ratio</w:t>
      </w:r>
      <w:r>
        <w:rPr>
          <w:rFonts w:ascii="Times New Roman" w:cs="Times New Roman" w:eastAsia="Times New Roman" w:hAnsi="Times New Roman"/>
          <w:sz w:val="27"/>
          <w:szCs w:val="27"/>
          <w:color w:val="auto"/>
          <w:vertAlign w:val="superscript"/>
        </w:rPr>
        <w:t>8</w:t>
      </w:r>
      <w:r>
        <w:rPr>
          <w:rFonts w:ascii="Times New Roman" w:cs="Times New Roman" w:eastAsia="Times New Roman" w:hAnsi="Times New Roman"/>
          <w:sz w:val="17"/>
          <w:szCs w:val="17"/>
          <w:color w:val="auto"/>
        </w:rPr>
        <w:t xml:space="preserve"> was 3.11% as of March 31, 2026.</w:t>
      </w:r>
    </w:p>
    <w:p>
      <w:pPr>
        <w:ind w:left="340" w:hanging="332"/>
        <w:spacing w:after="0"/>
        <w:tabs>
          <w:tab w:leader="none" w:pos="340" w:val="left"/>
        </w:tabs>
        <w:numPr>
          <w:ilvl w:val="0"/>
          <w:numId w:val="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Net revenue</w:t>
      </w:r>
      <w:r>
        <w:rPr>
          <w:rFonts w:ascii="Times New Roman" w:cs="Times New Roman" w:eastAsia="Times New Roman" w:hAnsi="Times New Roman"/>
          <w:sz w:val="27"/>
          <w:szCs w:val="27"/>
          <w:color w:val="auto"/>
          <w:vertAlign w:val="superscript"/>
        </w:rPr>
        <w:t>9</w:t>
      </w:r>
      <w:r>
        <w:rPr>
          <w:rFonts w:ascii="Times New Roman" w:cs="Times New Roman" w:eastAsia="Times New Roman" w:hAnsi="Times New Roman"/>
          <w:sz w:val="17"/>
          <w:szCs w:val="17"/>
          <w:color w:val="auto"/>
        </w:rPr>
        <w:t xml:space="preserve"> was RMB2,216.1 million (US$321.3 million) for the first quarter of 2026, compared with RMB2,770.2 million for the same period of 2025.</w:t>
      </w:r>
    </w:p>
    <w:p>
      <w:pPr>
        <w:spacing w:after="0" w:line="39" w:lineRule="exact"/>
        <w:rPr>
          <w:rFonts w:ascii="Times New Roman" w:cs="Times New Roman" w:eastAsia="Times New Roman" w:hAnsi="Times New Roman"/>
          <w:sz w:val="34"/>
          <w:szCs w:val="34"/>
          <w:color w:val="auto"/>
          <w:vertAlign w:val="superscript"/>
        </w:rPr>
      </w:pPr>
    </w:p>
    <w:p>
      <w:pPr>
        <w:ind w:left="340" w:hanging="332"/>
        <w:spacing w:after="0" w:line="182" w:lineRule="auto"/>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U.S. GAAP operating profit</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was RMB598.7 million (US$86.8 million) for the first quarter of 2026, compared with RMB913.1 million for the same period of 2025.</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182" w:lineRule="auto"/>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Non-GAAP adjusted EBITDA</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which excludes depreciation and amortization and share-based compensation expenses from operating profit, was RMB614.9 million (US$89.1 million) for the first quarter of 2026, compared with RMB930.1 million for the same period of 2025.</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Overseas Markets</w:t>
      </w:r>
    </w:p>
    <w:p>
      <w:pPr>
        <w:spacing w:after="0" w:line="22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registered users reached 56.5 million as of March 31, 2026, an increase of 45.2% compared with March 31, 2025.</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borrowers reached 13.4 million as of March 31, 2026, an increase of 76.3% compared with March 31, 2025.</w:t>
      </w:r>
    </w:p>
    <w:p>
      <w:pPr>
        <w:spacing w:after="0" w:line="9" w:lineRule="exact"/>
        <w:rPr>
          <w:rFonts w:ascii="Times New Roman" w:cs="Times New Roman" w:eastAsia="Times New Roman" w:hAnsi="Times New Roman"/>
          <w:sz w:val="18"/>
          <w:szCs w:val="18"/>
          <w:color w:val="auto"/>
        </w:rPr>
      </w:pPr>
    </w:p>
    <w:p>
      <w:pPr>
        <w:ind w:left="340" w:hanging="332"/>
        <w:spacing w:after="0" w:line="183" w:lineRule="auto"/>
        <w:tabs>
          <w:tab w:leader="none" w:pos="340" w:val="left"/>
        </w:tabs>
        <w:numPr>
          <w:ilvl w:val="0"/>
          <w:numId w:val="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Number of unique borrowers</w:t>
      </w:r>
      <w:r>
        <w:rPr>
          <w:rFonts w:ascii="Times New Roman" w:cs="Times New Roman" w:eastAsia="Times New Roman" w:hAnsi="Times New Roman"/>
          <w:sz w:val="27"/>
          <w:szCs w:val="27"/>
          <w:color w:val="auto"/>
          <w:vertAlign w:val="superscript"/>
        </w:rPr>
        <w:t>12</w:t>
      </w:r>
      <w:r>
        <w:rPr>
          <w:rFonts w:ascii="Times New Roman" w:cs="Times New Roman" w:eastAsia="Times New Roman" w:hAnsi="Times New Roman"/>
          <w:sz w:val="17"/>
          <w:szCs w:val="17"/>
          <w:color w:val="auto"/>
        </w:rPr>
        <w:t xml:space="preserve"> for the first quarter of 2026 was 4.5 million, an increase of 155.4% compared with the same period of 2025.</w:t>
      </w:r>
    </w:p>
    <w:p>
      <w:pPr>
        <w:ind w:left="340" w:hanging="332"/>
        <w:spacing w:after="0" w:line="191" w:lineRule="auto"/>
        <w:tabs>
          <w:tab w:leader="none" w:pos="340"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Number of new borrowers</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5"/>
          <w:szCs w:val="15"/>
          <w:color w:val="auto"/>
        </w:rPr>
        <w:t xml:space="preserve"> for the first quarter of 2026 was 1.7 million, an increase of 160.0% compared with the same period of 2025.</w:t>
      </w:r>
    </w:p>
    <w:p>
      <w:pPr>
        <w:ind w:left="340" w:hanging="332"/>
        <w:spacing w:after="0" w:line="191" w:lineRule="auto"/>
        <w:tabs>
          <w:tab w:leader="none" w:pos="340"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Transaction volume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5"/>
          <w:szCs w:val="15"/>
          <w:color w:val="auto"/>
        </w:rPr>
        <w:t xml:space="preserve"> reached RMB4.1 billion for the first quarter of 2026, an increase of 36.7% compared with the same period of 2025.</w:t>
      </w:r>
    </w:p>
    <w:p>
      <w:pPr>
        <w:ind w:left="340" w:hanging="332"/>
        <w:spacing w:after="0" w:line="191" w:lineRule="auto"/>
        <w:tabs>
          <w:tab w:leader="none" w:pos="340"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Outstanding loan balance</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5"/>
          <w:szCs w:val="15"/>
          <w:color w:val="auto"/>
        </w:rPr>
        <w:t xml:space="preserve"> reached RMB2.6 billion as of March 31, 2026, an increase of 36.8% compared with March 31, 2025.</w:t>
      </w:r>
    </w:p>
    <w:p>
      <w:pPr>
        <w:ind w:left="340" w:hanging="332"/>
        <w:spacing w:after="0" w:line="187" w:lineRule="auto"/>
        <w:tabs>
          <w:tab w:leader="none" w:pos="340" w:val="left"/>
        </w:tabs>
        <w:numPr>
          <w:ilvl w:val="0"/>
          <w:numId w:val="2"/>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Net revenue</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6"/>
          <w:szCs w:val="16"/>
          <w:color w:val="auto"/>
        </w:rPr>
        <w:t xml:space="preserve"> was RMB948.9 million (US$137.6 million) for the first quarter of 2026, an increase of 34.5% compared with the same period of 2025, representing 29.6% of total revenue for the first quarter of 2026.</w:t>
      </w:r>
    </w:p>
    <w:p>
      <w:pPr>
        <w:ind w:left="340" w:hanging="332"/>
        <w:spacing w:after="0" w:line="182"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U.S. GAAP operating profit</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was RMB45.8 million (US$6.6 million) for the first quarter of 2026, compared with RMB24.4 million for the same period of 2025.</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182"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Non-GAAP adjusted EBITDA</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which excludes depreciation and amortization and share-based compensation expenses from operating profit, was RMB47.5 million (US$6.9 million) for the first quarter of 2026, compared with RMB25.5 million for the same period of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Group Financial Highlights</w:t>
      </w:r>
    </w:p>
    <w:p>
      <w:pPr>
        <w:spacing w:after="0" w:line="229" w:lineRule="exact"/>
        <w:rPr>
          <w:sz w:val="20"/>
          <w:szCs w:val="20"/>
          <w:color w:val="auto"/>
        </w:rPr>
      </w:pPr>
    </w:p>
    <w:p>
      <w:pPr>
        <w:ind w:left="340" w:right="2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RMB3,210.1 million (US$465.4 million) for the first quarter of 2026, compared with RMB3,481.0 million for the same period of 2025.</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profit was RMB421.1 million (US$61.0 million) for the first quarter of 2026, compared with RMB737.6 million for the same period of 2025.</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operating profit was RMB546.8 million (US$79.3 million) for the first quarter of 2026, compared with RMB883.2 million for the same period of 2025.</w:t>
      </w:r>
    </w:p>
    <w:p>
      <w:pPr>
        <w:ind w:left="340" w:hanging="332"/>
        <w:spacing w:after="0" w:line="182"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Non-GAAP adjusted operating profit</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which excludes share-based compensation expenses before tax, was RMB585.0 million (US$84.8 million) for the first quarter of 2026, compared with RMB917.9 million for the same period of 2025.</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profit per American depositary share (“ADS”) was RMB1.65 (US$0.24) and diluted net profit per share was RMB0.33 (US$0.05) for the first quarter of 2026, compared with RMB2.84 and RMB0.57 for the same period of 2025, respectively.</w:t>
      </w: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net profit per ADS was RMB1.80 (US$0.26) and non-GAAP diluted net profit per share was RMB0.36 (US$0.05) for the first quarter of 2026, compared with RMB2.97 and RMB0.59 for the same period of 2025, respectively. Each ADS of the Company represents five Class A ordinary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23"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total transaction volume facilitated in the Chinese Mainland and overseas markets on the Company’s platform during the period presented.</w:t>
      </w:r>
    </w:p>
    <w:p>
      <w:pPr>
        <w:spacing w:after="0" w:line="22" w:lineRule="exact"/>
        <w:rPr>
          <w:sz w:val="20"/>
          <w:szCs w:val="20"/>
          <w:color w:val="auto"/>
        </w:rPr>
      </w:pPr>
    </w:p>
    <w:p>
      <w:pPr>
        <w:ind w:firstLine="8"/>
        <w:spacing w:after="0" w:line="195" w:lineRule="auto"/>
        <w:tabs>
          <w:tab w:leader="none" w:pos="152"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our transaction volume facilitated in the Chinese Mainland during the period presented. During the first quarter, RMB15.5 billion was facilitated under the capital-light model, for which the Company does not bear principal risk.</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Represents our transaction volume facilitated in Indonesia, the Philippines and Australia during the period presented.</w:t>
      </w:r>
    </w:p>
    <w:p>
      <w:pPr>
        <w:spacing w:after="0" w:line="22" w:lineRule="exact"/>
        <w:rPr>
          <w:sz w:val="20"/>
          <w:szCs w:val="20"/>
          <w:color w:val="auto"/>
        </w:rPr>
      </w:pPr>
    </w:p>
    <w:p>
      <w:pPr>
        <w:jc w:val="both"/>
        <w:ind w:firstLine="8"/>
        <w:spacing w:after="0" w:line="210" w:lineRule="auto"/>
        <w:tabs>
          <w:tab w:leader="none" w:pos="129"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Outstanding loan balance as of any date refers to the balance of outstanding loans in the Chinese Mainland market excluding loans delinquent for more than 180 days from such date. As of March 31, 2026, RMB35.0 billion was facilitated under the capital-light model, for which the Company does not bear principal risk.</w:t>
      </w:r>
    </w:p>
    <w:p>
      <w:pPr>
        <w:spacing w:after="0" w:line="24" w:lineRule="exact"/>
        <w:rPr>
          <w:sz w:val="20"/>
          <w:szCs w:val="20"/>
          <w:color w:val="auto"/>
        </w:rPr>
      </w:pPr>
    </w:p>
    <w:p>
      <w:pPr>
        <w:ind w:firstLine="8"/>
        <w:spacing w:after="0" w:line="195" w:lineRule="auto"/>
        <w:tabs>
          <w:tab w:leader="none" w:pos="126"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Outstanding loan balance as of any date refers to the balance of outstanding loans in Indonesia, the Philippines and Australia excluding loans delinquent for more than 30 days from such date.</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Represents the total number of borrowers in the Chinese Mainland who successfully borrowed on the Company’s platform during the period presented.</w:t>
      </w:r>
    </w:p>
    <w:p>
      <w:pPr>
        <w:spacing w:after="0" w:line="22" w:lineRule="exact"/>
        <w:rPr>
          <w:sz w:val="20"/>
          <w:szCs w:val="20"/>
          <w:color w:val="auto"/>
        </w:rPr>
      </w:pPr>
    </w:p>
    <w:p>
      <w:pPr>
        <w:ind w:right="20" w:firstLine="8"/>
        <w:spacing w:after="0" w:line="195" w:lineRule="auto"/>
        <w:tabs>
          <w:tab w:leader="none" w:pos="143"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transaction volume facilitated for borrowers who had historically completed a transaction on the Company’s platform in the Chinese Mainland during the period presented.</w:t>
      </w:r>
    </w:p>
    <w:p>
      <w:pPr>
        <w:spacing w:after="0" w:line="24" w:lineRule="exact"/>
        <w:rPr>
          <w:sz w:val="20"/>
          <w:szCs w:val="20"/>
          <w:color w:val="auto"/>
        </w:rPr>
      </w:pPr>
    </w:p>
    <w:p>
      <w:pPr>
        <w:jc w:val="both"/>
        <w:ind w:firstLine="8"/>
        <w:spacing w:after="0" w:line="210" w:lineRule="auto"/>
        <w:tabs>
          <w:tab w:leader="none" w:pos="124"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“90 day+ delinquency ratio” refers to the outstanding principal balance of loans, excluding loans facilitated under the capital-light model, that were 90 to 179 calendar days past due as a percentage of the total outstanding principal balance of loans, excluding loans facilitated under the capital-light model on the Company’s platform as of a specific date. Loans that originated outside the Chinese Mainland are not included in the calculation.</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firstLine="8"/>
        <w:spacing w:after="0" w:line="210" w:lineRule="auto"/>
        <w:tabs>
          <w:tab w:leader="none" w:pos="126"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revenue from the Chinese Mainland. Prior period segment results from the Chinese Mainland have been recast to conform to the current period presentation. Please refer to the “Selected Segment Information” tables at the end of this release for a breakdown by segment for the periods presented.</w:t>
      </w:r>
    </w:p>
    <w:p>
      <w:pPr>
        <w:spacing w:after="0" w:line="24" w:lineRule="exact"/>
        <w:rPr>
          <w:sz w:val="20"/>
          <w:szCs w:val="20"/>
          <w:color w:val="auto"/>
        </w:rPr>
      </w:pPr>
    </w:p>
    <w:p>
      <w:pPr>
        <w:ind w:firstLine="8"/>
        <w:spacing w:after="0" w:line="195" w:lineRule="auto"/>
        <w:tabs>
          <w:tab w:leader="none" w:pos="216"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refer to the “Selected Segment Information” tables at the end of this release for reconciliation between Operating Segment Profit/(Loss) and GAAP operating profit.</w:t>
      </w:r>
    </w:p>
    <w:p>
      <w:pPr>
        <w:spacing w:after="0" w:line="24" w:lineRule="exact"/>
        <w:rPr>
          <w:rFonts w:ascii="Times New Roman" w:cs="Times New Roman" w:eastAsia="Times New Roman" w:hAnsi="Times New Roman"/>
          <w:sz w:val="30"/>
          <w:szCs w:val="30"/>
          <w:color w:val="auto"/>
          <w:vertAlign w:val="superscript"/>
        </w:rPr>
      </w:pPr>
    </w:p>
    <w:p>
      <w:pPr>
        <w:ind w:right="20" w:firstLine="8"/>
        <w:spacing w:after="0" w:line="208" w:lineRule="auto"/>
        <w:tabs>
          <w:tab w:leader="none" w:pos="200"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the “Selected Segment Information” tables at the end of this release for reconciliation between GAAP operating profit and Non-GAAP adjusted EBITDA.</w:t>
      </w:r>
    </w:p>
    <w:p>
      <w:pPr>
        <w:spacing w:after="0" w:line="24" w:lineRule="exact"/>
        <w:rPr>
          <w:rFonts w:ascii="Times New Roman" w:cs="Times New Roman" w:eastAsia="Times New Roman" w:hAnsi="Times New Roman"/>
          <w:sz w:val="28"/>
          <w:szCs w:val="28"/>
          <w:color w:val="auto"/>
          <w:vertAlign w:val="superscript"/>
        </w:rPr>
      </w:pPr>
    </w:p>
    <w:p>
      <w:pPr>
        <w:ind w:firstLine="8"/>
        <w:spacing w:after="0" w:line="208" w:lineRule="auto"/>
        <w:tabs>
          <w:tab w:leader="none" w:pos="198"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Represents the total number of borrowers in Indonesia, the Philippines and Australia who successfully borrowed on the Company’s platforms during the period presented.</w:t>
      </w:r>
    </w:p>
    <w:p>
      <w:pPr>
        <w:spacing w:after="0" w:line="24" w:lineRule="exact"/>
        <w:rPr>
          <w:rFonts w:ascii="Times New Roman" w:cs="Times New Roman" w:eastAsia="Times New Roman" w:hAnsi="Times New Roman"/>
          <w:sz w:val="28"/>
          <w:szCs w:val="28"/>
          <w:color w:val="auto"/>
          <w:vertAlign w:val="superscript"/>
        </w:rPr>
      </w:pPr>
    </w:p>
    <w:p>
      <w:pPr>
        <w:ind w:firstLine="8"/>
        <w:spacing w:after="0" w:line="195" w:lineRule="auto"/>
        <w:tabs>
          <w:tab w:leader="none" w:pos="229"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total number of new borrowers in Indonesia, the Philippines and Australia whose transactions were facilitated on the Company’s platforms during the period presented.</w:t>
      </w:r>
    </w:p>
    <w:p>
      <w:pPr>
        <w:spacing w:after="0" w:line="24" w:lineRule="exact"/>
        <w:rPr>
          <w:rFonts w:ascii="Times New Roman" w:cs="Times New Roman" w:eastAsia="Times New Roman" w:hAnsi="Times New Roman"/>
          <w:sz w:val="30"/>
          <w:szCs w:val="30"/>
          <w:color w:val="auto"/>
          <w:vertAlign w:val="superscript"/>
        </w:rPr>
      </w:pPr>
    </w:p>
    <w:p>
      <w:pPr>
        <w:jc w:val="both"/>
        <w:ind w:firstLine="8"/>
        <w:spacing w:after="0" w:line="331" w:lineRule="auto"/>
        <w:tabs>
          <w:tab w:leader="none" w:pos="187"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revenue from overseas markets outside the Chinese Mainland, namely Indonesia, the Philippines, and Australia. Prior period segment results from overseas markets have been recast to conform to the current period presentation. Please refer to “Selected Segment Information” for a breakdown by segment for the periods presented.</w:t>
      </w:r>
    </w:p>
    <w:p>
      <w:pPr>
        <w:spacing w:after="0" w:line="22" w:lineRule="exact"/>
        <w:rPr>
          <w:rFonts w:ascii="Times New Roman" w:cs="Times New Roman" w:eastAsia="Times New Roman" w:hAnsi="Times New Roman"/>
          <w:sz w:val="26"/>
          <w:szCs w:val="26"/>
          <w:color w:val="auto"/>
          <w:vertAlign w:val="superscript"/>
        </w:rPr>
      </w:pPr>
    </w:p>
    <w:p>
      <w:pPr>
        <w:ind w:firstLine="8"/>
        <w:spacing w:after="0"/>
        <w:tabs>
          <w:tab w:leader="none" w:pos="199"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“UNAUDITED Reconciliation of GAAP and Non-GAAP Results” for reconciliation between GAAP and Non-GAAP adjusted operating profit.</w:t>
      </w:r>
    </w:p>
    <w:p>
      <w:pPr>
        <w:spacing w:after="0" w:line="3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Tiezheng Li, Vice Chairman and Chief Executive Officer of FinVolution, commented, “In the first quarter, we delivered continued growth in our overseas business and a resilient performance in the Chinese Mainland segment against an evolving regulatory backdrop, demonstrating the strength of our two-engine model. Beginning this quarter, we are reporting our overseas business as a separate reportable segment, reflecting our strategic trajectory and the earnings power of our diversified business.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Chinese Mainland segment, we executed with discipline, acquiring approximately 0.6 million new borrowers while prioritizing asset quality, customer quality and unit economics. The segment remained stable and profitable, reinforcing its role as the anchor of our operating cash flow.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Overseas Markets segment delivered robust year-over-year revenue growth, contributing 29.6% of our total first quarter revenue. Our ‘Local Excellence, Global Outlook+’ strategy of transferring proven risk management and operational capabilities across regions drove strong year-over-year loan volume growth and more than doubled our unique overseas borrowers, underscoring our accelerating global traction.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we will continue to manage our China business prudently while expanding our overseas platform with deeper integration into the local ecosystems. Supported by strong technology advantages and a healthy balance sheet, we are well-positioned to continue creating durable value for customers and delivering sustainable financial returns for our stakeholders,” concluded Mr. Li.</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Jiayuan Xu, Chief Financial Officer of FinVolution, continued, “Total net revenues for the first quarter were RMB3.2 billion, up 6.2% sequentially. Early signs of credit recovery in our Chinese Mainland business supported a recovery in loan origination volume to RMB38.5 billion, driving a 6.9% sequential increase in Chinese Mainland net revenue to RMB2.2 billion. In our overseas markets, revenue grew 34.5% year over year to RMB948.9 million, and operating profit reached RMB45.8 million, up 87.7% year over year, highlighting our overseas platform’s scalability and growing operating leverage.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“Meanwhile, we continued to return capital to our shareholders, executing share repurchases totaling US$39.4 million in the first quarter alongside our 8th annual dividend of US$0.306 per ADS in May, a 10.5% increase year over year. We reiterate our full-year 2026 revenue guidance of approximately RMB11.5 billion to RMB12.9 billion, which reflects the expected near-term impact of China’s regulatory environment. We remain confident in the resilience of our model and committed to long-term value creation,” concluded Mr. Xu.</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revenue </w:t>
      </w:r>
      <w:r>
        <w:rPr>
          <w:rFonts w:ascii="Times New Roman" w:cs="Times New Roman" w:eastAsia="Times New Roman" w:hAnsi="Times New Roman"/>
          <w:sz w:val="18"/>
          <w:szCs w:val="18"/>
          <w:color w:val="auto"/>
        </w:rPr>
        <w:t>for the first quarter of 2026 was RMB3,210.1 million (US$465.4 million), compared with RMB3,481.0 million for the same period of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decrease was primarily due to decreases in loan facilitation service fees, post-facilitation service fees and guarantee income, partially offset by increases in net interest income and other revenue.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 facilitation service fees </w:t>
      </w:r>
      <w:r>
        <w:rPr>
          <w:rFonts w:ascii="Times New Roman" w:cs="Times New Roman" w:eastAsia="Times New Roman" w:hAnsi="Times New Roman"/>
          <w:sz w:val="18"/>
          <w:szCs w:val="18"/>
          <w:color w:val="auto"/>
        </w:rPr>
        <w:t>were RMB1,181.3 million (US$171.3 million) for the first quarter of 2026, compared with RMB1,477.8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2025. The decrease was primarily due to decreases in the transaction volume and average rate of transaction service fees in the Chinese Mainland market, partially offset by the increase in transaction volume in overseas markets.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Post-facilitation service fees </w:t>
      </w:r>
      <w:r>
        <w:rPr>
          <w:rFonts w:ascii="Times New Roman" w:cs="Times New Roman" w:eastAsia="Times New Roman" w:hAnsi="Times New Roman"/>
          <w:sz w:val="18"/>
          <w:szCs w:val="18"/>
          <w:color w:val="auto"/>
        </w:rPr>
        <w:t>were RMB348.3 million (US$50.5 million) for the first quarter of 2026, compared with RMB380.6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2025. This decrease was primarily due to the rolling impact of deferred transaction fees.</w:t>
      </w:r>
    </w:p>
    <w:p>
      <w:pPr>
        <w:spacing w:after="0" w:line="15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 income </w:t>
      </w:r>
      <w:r>
        <w:rPr>
          <w:rFonts w:ascii="Times New Roman" w:cs="Times New Roman" w:eastAsia="Times New Roman" w:hAnsi="Times New Roman"/>
          <w:sz w:val="18"/>
          <w:szCs w:val="18"/>
          <w:color w:val="auto"/>
        </w:rPr>
        <w:t>was RMB886.1 million (US$128.5 million) for the first quarter of 2026, compared with RMB1,099.5 million for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This decrease was primarily due to the decrease in risk-bearing loans in the Chinese Mainland market, as well as the rolling impact of deferred guarantee income. The fair value of quality assurance commitment upon loan origination is released as guarantee income systematically over the term of the loans subject to quality assurance commitment.</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was RMB484.7 million (US$70.3 million) for the first quarter of 2026, compared with RMB241.6 million for the same period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increase mainly resulted from the increase in the average outstanding loan balances of on-balance sheet loans in both the Chinese Mainland and overseas markets, partially offset by the decrease in interest yield in the Chinese Mainland market.</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was RMB309.7 million (US$44.9 million) for the first quarter of 2026, compared with RMB281.5 million for the same period of 2025.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the increase in the contributions from other revenue streams, including other value-added services.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Origination, servicing expenses and other costs of revenue </w:t>
      </w:r>
      <w:r>
        <w:rPr>
          <w:rFonts w:ascii="Times New Roman" w:cs="Times New Roman" w:eastAsia="Times New Roman" w:hAnsi="Times New Roman"/>
          <w:sz w:val="18"/>
          <w:szCs w:val="18"/>
          <w:color w:val="auto"/>
        </w:rPr>
        <w:t>were RMB745.2 million (US$108.0 million) for the first quarter of 2026,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RMB620.5 million for the same period of 2025. This increase was primarily driven by the increase in employee expenditures and higher loan collection expenses in both the Chinese Mainland and overseas markets.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RMB492.4 million (US$71.4 million) for the first quarter of 2026, compared with RMB529.7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2025. This decrease was primarily due to improved efficiency and decreased investment in marketing activities in the Chinese Mainland market.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RMB125.5 million (US$18.2 million) for the first quarter of 2026, compared with RMB126.0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2025. This decrease was primarily due to efficiency improvements in technology development.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RMB113.8 million (US$16.5 million) for the first quarter of 2026, compared with RMB106.9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2025, primarily due to an increase in office expenses.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Provision for accounts receivable and contract assets </w:t>
      </w:r>
      <w:r>
        <w:rPr>
          <w:rFonts w:ascii="Times New Roman" w:cs="Times New Roman" w:eastAsia="Times New Roman" w:hAnsi="Times New Roman"/>
          <w:sz w:val="18"/>
          <w:szCs w:val="18"/>
          <w:color w:val="auto"/>
        </w:rPr>
        <w:t>was RMB111.5 million (US$16.2 million) for the first quarter of 2026, compared with RMB117.7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same period of 2025. The decrease was primarily due to decreased transaction volume of off-balance sheet loans in the Chinese Mainland market, partially offset by the increase in volume of off-balance sheet loans in overseas markets.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Provision for loans receivable </w:t>
      </w:r>
      <w:r>
        <w:rPr>
          <w:rFonts w:ascii="Times New Roman" w:cs="Times New Roman" w:eastAsia="Times New Roman" w:hAnsi="Times New Roman"/>
          <w:sz w:val="18"/>
          <w:szCs w:val="18"/>
          <w:color w:val="auto"/>
        </w:rPr>
        <w:t>was RMB218.1 million (US$31.6 million) for the first quarter of 2026, compared with RMB85.4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2025. This increase was primarily due to the increase in the outstanding loan balance of on-balance sheet loans in the Chinese Mainland and overseas markets.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Credit losses for quality assurance commitment </w:t>
      </w:r>
      <w:r>
        <w:rPr>
          <w:rFonts w:ascii="Times New Roman" w:cs="Times New Roman" w:eastAsia="Times New Roman" w:hAnsi="Times New Roman"/>
          <w:sz w:val="18"/>
          <w:szCs w:val="18"/>
          <w:color w:val="auto"/>
        </w:rPr>
        <w:t>were RMB856.6 million (US$124.2 million) for the first quarter of 2026, compared with RMB1,011.6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same period of 2025. The decrease was primarily due to the decrease in risk-bearing loans in the Chinese Mainland market.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was RMB546.8 million (US$79.3 million) for the first quarter of 2026, compared with RMB883.2 million for the same period of 2025.</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Non-GAAP adjusted operating profit</w:t>
      </w:r>
      <w:r>
        <w:rPr>
          <w:rFonts w:ascii="Times New Roman" w:cs="Times New Roman" w:eastAsia="Times New Roman" w:hAnsi="Times New Roman"/>
          <w:sz w:val="18"/>
          <w:szCs w:val="18"/>
          <w:color w:val="auto"/>
        </w:rPr>
        <w:t>, which excludes share-based compensation expenses before tax, was RMB585.0 million (US$84.8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2026, compared with RMB917.9 million for the same period of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income/(expenses) </w:t>
      </w:r>
      <w:r>
        <w:rPr>
          <w:rFonts w:ascii="Times New Roman" w:cs="Times New Roman" w:eastAsia="Times New Roman" w:hAnsi="Times New Roman"/>
          <w:sz w:val="18"/>
          <w:szCs w:val="18"/>
          <w:color w:val="auto"/>
        </w:rPr>
        <w:t>was an expense of RMB15.5 million (US$2.3 million) for the first quarter of 2026, compared with income of RMB9.0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same period of 2025. The decrease was mainly due to foreign exchange losses.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RMB93.1 million (US$13.5 million) for the first quarter of 2026, compared with RMB153.9 million for the same period of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mainly due to the decrease in pre-tax profit.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profit </w:t>
      </w:r>
      <w:r>
        <w:rPr>
          <w:rFonts w:ascii="Times New Roman" w:cs="Times New Roman" w:eastAsia="Times New Roman" w:hAnsi="Times New Roman"/>
          <w:sz w:val="18"/>
          <w:szCs w:val="18"/>
          <w:color w:val="auto"/>
        </w:rPr>
        <w:t>was RMB421.1 million (US$61.0 million) for the first quarter of 2026, compared with RMB737.6 million for the same period of 2025.</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profit attributable to ordinary shareholders of the Company </w:t>
      </w:r>
      <w:r>
        <w:rPr>
          <w:rFonts w:ascii="Times New Roman" w:cs="Times New Roman" w:eastAsia="Times New Roman" w:hAnsi="Times New Roman"/>
          <w:sz w:val="18"/>
          <w:szCs w:val="18"/>
          <w:color w:val="auto"/>
        </w:rPr>
        <w:t>was RMB415.1 million (US$60.2 million) for the first quarter of 2026,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RMB746.4 million for the same period of 2025.</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Diluted net profit per ADS </w:t>
      </w:r>
      <w:r>
        <w:rPr>
          <w:rFonts w:ascii="Times New Roman" w:cs="Times New Roman" w:eastAsia="Times New Roman" w:hAnsi="Times New Roman"/>
          <w:sz w:val="18"/>
          <w:szCs w:val="18"/>
          <w:color w:val="auto"/>
        </w:rPr>
        <w:t>was RMB1.65 (US$0.24) and</w:t>
      </w:r>
      <w:r>
        <w:rPr>
          <w:rFonts w:ascii="Times New Roman" w:cs="Times New Roman" w:eastAsia="Times New Roman" w:hAnsi="Times New Roman"/>
          <w:sz w:val="18"/>
          <w:szCs w:val="18"/>
          <w:b w:val="1"/>
          <w:bCs w:val="1"/>
          <w:color w:val="auto"/>
        </w:rPr>
        <w:t xml:space="preserve"> diluted net profit per share </w:t>
      </w:r>
      <w:r>
        <w:rPr>
          <w:rFonts w:ascii="Times New Roman" w:cs="Times New Roman" w:eastAsia="Times New Roman" w:hAnsi="Times New Roman"/>
          <w:sz w:val="18"/>
          <w:szCs w:val="18"/>
          <w:color w:val="auto"/>
        </w:rPr>
        <w:t>was RMB0.33 (US$0.05) for the first quarter of 2026,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RMB2.84 and RMB0.57 for the same period of 2025, respectively.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Non-GAAP diluted net profit per ADS </w:t>
      </w:r>
      <w:r>
        <w:rPr>
          <w:rFonts w:ascii="Times New Roman" w:cs="Times New Roman" w:eastAsia="Times New Roman" w:hAnsi="Times New Roman"/>
          <w:sz w:val="18"/>
          <w:szCs w:val="18"/>
          <w:color w:val="auto"/>
        </w:rPr>
        <w:t>was RMB1.80 (US$0.26) and</w:t>
      </w:r>
      <w:r>
        <w:rPr>
          <w:rFonts w:ascii="Times New Roman" w:cs="Times New Roman" w:eastAsia="Times New Roman" w:hAnsi="Times New Roman"/>
          <w:sz w:val="18"/>
          <w:szCs w:val="18"/>
          <w:b w:val="1"/>
          <w:bCs w:val="1"/>
          <w:color w:val="auto"/>
        </w:rPr>
        <w:t xml:space="preserve"> non-GAAP diluted net profit per share </w:t>
      </w:r>
      <w:r>
        <w:rPr>
          <w:rFonts w:ascii="Times New Roman" w:cs="Times New Roman" w:eastAsia="Times New Roman" w:hAnsi="Times New Roman"/>
          <w:sz w:val="18"/>
          <w:szCs w:val="18"/>
          <w:color w:val="auto"/>
        </w:rPr>
        <w:t>was RMB0.36 (US$0.05) for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2026, compared with RMB2.97 and RMB0.59 for the same period of 2025, respectively. Each ADS represents five Class A ordinary shares of the Company.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of RMB4,687.8 million (US$679.6 million) and short-term investments, mainly in wealth management products and term deposits, of RMB2,643.8 million (US$383.3 million).</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chart shows the historical cumulative 30-day plus past due delinquency rates by loan origination vintage for loan products facilitated through the Company’s platform in the Chinese Mainland as of March 31, 2026. Loans facilitated under the capital-light model, for which the Company does not bear principal risk, are excluded from the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123190</wp:posOffset>
            </wp:positionV>
            <wp:extent cx="5580380" cy="5734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80380" cy="573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Repurchase Update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2026, the Company deployed approximately US$39.4 million to repurchase its own Class A ordinary shares in the form of ADSs. As of March 31, 2026, in combination with the Company’s historical and existing share repurchase programs, the Company had cumulatively repurchased its own Class A ordinary shares in the form of ADSs with a total aggregate value of approximately US$516.7 million since 2018.</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 execution of the Company’s ‘Local Excellence, Global Outlook+’ Strategy drove a resilient first quarter performance despite domestic macro headwinds and seasonal softness. The Company reiterates its full-year 2026 total revenue guidance to be in the range of approximately RMB11.5 billion to RMB12.9 billion.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forecast is based on the current market conditions and reflects the Company’s current preliminary views and expectations on market and operational conditions and the regulatory and operating environment, as well as customers’ and institutional partners’ demands, all of which are subject to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8:30 PM U.S. Eastern Time on May 25, 2026 (8:30 AM Beijing/Hong Kong Time on May 26,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should complete online registration using the link provided below at least 15 minutes before the scheduled start time. Upon registration, participants will receive the conference call access information, including dial-in numbers, a personal PIN and an e-mail with detailed instructions to join the conference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Online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https://register-conf.media-server.com/register/BIf9feb90f9176441083910b143e67c48d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https://ir.finvgroup.com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FinVolution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FinVolution Group is a leading fintech platform with strong brand recognition across China and overseas markets, connecting borrowers of the young generation with financial institutions. Established in 2007, the Company is a pioneer in China’s online consumer finance industry and has developed innovative technologies and has accumulated in-depth experience in the core areas of credit risk assessment, fraud detection, big data and artificial intelligence. The Company’s platforms, empowered by proprietary cutting-edge technologies, features a highly automated loan transaction process, which enables a superior user experience. As of March 31, 2026, the Company had 246.5 million cumulative registered users across China and overseas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https://ir.finvgroup.com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non-GAAP adjusted operating profit, non-GAAP operating margin, non-GAAP adjusted EBITDA, non-GAAP net profit, non-GAAP net profit attributable to FinVolution Group, and non-GAAP basic and diluted net profit per share and per ADS which are non-GAAP financial measures, in evaluating our operating results and for financial and operational decision-making purposes. We believe that these non-GAAP financial measures help identify underlying trends in our business by excluding the impact of share-based compensation expenses and expected discretionary measures. We believe that non-GAAP financial measures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adjusted operating profit, non-GAAP operating margin, non-GAAP adjusted EBITDA, non-GAAP net profit, non-GAAP net profit attributable to FinVolution Group, and non-GAAP basic and diluted net profit per share and per ADS are not defined under U.S. GAAP and are not presented in accordance with U.S. GAAP. These non-GAAP financial measures have limitations as analytical tool, and when assessing our operating performance, cash flows or our liquidity, investors should not consider it in isolation, or as a substitute for net income, cash flows provided by operating activities or other consolidated statements of operation and cash flow data prepared in accordance with U.S. GAAP. The Company encourages investors and others to review our financial information in its entirety and not rely on a single financial measure.</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this non-GAAP financial measure, please see the table captioned “Reconciliations of GAAP and Non-GAAP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at a specified rate solely for the convenience of the reader. Unless otherwise noted, all translations from RMB to U.S. dollars are made at a rate of RMB6.8980 to US$1.00, the rate in effect as of March 31, 2026 as certified for customs purposes by the Federal Reserve Bank of New York.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“target,”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risks, uncertainties and other factors that could cause actual results to differ materially from those contained in any such statements. Potential risks and uncertainties include, but are not limited to, uncertainties as to the Company’s ability to attract and retain borrowers and investors on its marketplace, its ability to increase volume of loans facilitated through the Company’s marketplace, its ability to introduce new loan products and platform enhancements, its ability to compete effectively, laws, regulations and governmental policies relating to the online consumer finance industry in China, general economic conditions in China, and the Company’s ability to meet the standards necessary to maintain listing of its ADSs on the NYSE, including its ability to cure any non-compliance with the NYSE’s continued listing criteria. Further information regarding these and other risks, uncertainties or factors is included in the Company’s filings with the U.S. Securities and Exchange Commission. All information provided in this press release is as of the date of this press release, and FinVolution does not undertake any obligation to update any forward-looking statement as a result of new information, future events or otherwise,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FinVolution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Capital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Yam Cheng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(21) 8030-3200 Ext. 8601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ir@xinye.com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finv@tpg-ir.com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finv@tpg-ir.com</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FinVolution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256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60" w:type="dxa"/>
            <w:vAlign w:val="bottom"/>
          </w:tcPr>
          <w:p>
            <w:pPr>
              <w:spacing w:after="0"/>
              <w:rPr>
                <w:sz w:val="18"/>
                <w:szCs w:val="18"/>
                <w:color w:val="auto"/>
              </w:rPr>
            </w:pPr>
          </w:p>
        </w:tc>
        <w:tc>
          <w:tcPr>
            <w:tcW w:w="2560" w:type="dxa"/>
            <w:vAlign w:val="bottom"/>
            <w:tcBorders>
              <w:top w:val="single" w:sz="8" w:color="auto"/>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60" w:type="dxa"/>
            <w:vAlign w:val="bottom"/>
          </w:tcPr>
          <w:p>
            <w:pPr>
              <w:spacing w:after="0"/>
              <w:rPr>
                <w:sz w:val="18"/>
                <w:szCs w:val="18"/>
                <w:color w:val="auto"/>
              </w:rPr>
            </w:pPr>
          </w:p>
        </w:tc>
        <w:tc>
          <w:tcPr>
            <w:tcW w:w="2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4,285,121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4,687,773</w:t>
            </w:r>
          </w:p>
        </w:tc>
        <w:tc>
          <w:tcPr>
            <w:tcW w:w="5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679,584</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1,912,850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1,862,880</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270,061</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3,015,226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2,643,817</w:t>
            </w:r>
          </w:p>
        </w:tc>
        <w:tc>
          <w:tcPr>
            <w:tcW w:w="5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383,273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1,141,816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1,142,087</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165,568</w:t>
            </w:r>
          </w:p>
        </w:tc>
        <w:tc>
          <w:tcPr>
            <w:tcW w:w="0" w:type="dxa"/>
            <w:vAlign w:val="bottom"/>
          </w:tcPr>
          <w:p>
            <w:pPr>
              <w:spacing w:after="0"/>
              <w:rPr>
                <w:sz w:val="1"/>
                <w:szCs w:val="1"/>
                <w:color w:val="auto"/>
              </w:rPr>
            </w:pPr>
          </w:p>
        </w:tc>
      </w:tr>
      <w:tr>
        <w:trPr>
          <w:trHeight w:val="198"/>
        </w:trPr>
        <w:tc>
          <w:tcPr>
            <w:tcW w:w="53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Quality assurance receivable, net of credit loss allowance for</w:t>
            </w: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quality assurance receivable of RMB581,475 and RMB616,214 as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December 31, 2025 and March 31, 2026, respectively</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1,315,184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1,376,678</w:t>
            </w:r>
          </w:p>
        </w:tc>
        <w:tc>
          <w:tcPr>
            <w:tcW w:w="5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199,576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270,246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270,246</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39,177</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641,316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625,456</w:t>
            </w:r>
          </w:p>
        </w:tc>
        <w:tc>
          <w:tcPr>
            <w:tcW w:w="5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90,672</w:t>
            </w:r>
          </w:p>
        </w:tc>
        <w:tc>
          <w:tcPr>
            <w:tcW w:w="0" w:type="dxa"/>
            <w:vAlign w:val="bottom"/>
          </w:tcPr>
          <w:p>
            <w:pPr>
              <w:spacing w:after="0"/>
              <w:rPr>
                <w:sz w:val="1"/>
                <w:szCs w:val="1"/>
                <w:color w:val="auto"/>
              </w:rPr>
            </w:pPr>
          </w:p>
        </w:tc>
      </w:tr>
      <w:tr>
        <w:trPr>
          <w:trHeight w:val="198"/>
        </w:trPr>
        <w:tc>
          <w:tcPr>
            <w:tcW w:w="5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Loans receivable, net of credit loss allowance for loans receivable</w:t>
            </w:r>
          </w:p>
        </w:tc>
        <w:tc>
          <w:tcPr>
            <w:tcW w:w="1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RMB544,905 and RMB572,937 as of December 31, 2025 and</w:t>
            </w: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2026, respectively</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6,471,619</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6,963,186</w:t>
            </w:r>
          </w:p>
        </w:tc>
        <w:tc>
          <w:tcPr>
            <w:tcW w:w="5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1,009,450</w:t>
            </w:r>
          </w:p>
        </w:tc>
        <w:tc>
          <w:tcPr>
            <w:tcW w:w="0" w:type="dxa"/>
            <w:vAlign w:val="bottom"/>
          </w:tcPr>
          <w:p>
            <w:pPr>
              <w:spacing w:after="0"/>
              <w:rPr>
                <w:sz w:val="1"/>
                <w:szCs w:val="1"/>
                <w:color w:val="auto"/>
              </w:rPr>
            </w:pPr>
          </w:p>
        </w:tc>
      </w:tr>
      <w:tr>
        <w:trPr>
          <w:trHeight w:val="198"/>
        </w:trPr>
        <w:tc>
          <w:tcPr>
            <w:tcW w:w="53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and contract assets, net of credit loss</w:t>
            </w: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accounts receivable and contract assets of</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RMB340,816 and RMB349,157 as of December 31, 2025 and</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2026, respectively</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2,028,585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1,599,215</w:t>
            </w:r>
          </w:p>
        </w:tc>
        <w:tc>
          <w:tcPr>
            <w:tcW w:w="5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231,838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2,992,071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3,219,281</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466,698</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52,020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50,340</w:t>
            </w:r>
          </w:p>
        </w:tc>
        <w:tc>
          <w:tcPr>
            <w:tcW w:w="5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1,207,791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1,168,487</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169,395</w:t>
            </w:r>
          </w:p>
        </w:tc>
        <w:tc>
          <w:tcPr>
            <w:tcW w:w="0" w:type="dxa"/>
            <w:vAlign w:val="bottom"/>
          </w:tcPr>
          <w:p>
            <w:pPr>
              <w:spacing w:after="0"/>
              <w:rPr>
                <w:sz w:val="1"/>
                <w:szCs w:val="1"/>
                <w:color w:val="auto"/>
              </w:rPr>
            </w:pPr>
          </w:p>
        </w:tc>
      </w:tr>
      <w:tr>
        <w:trPr>
          <w:trHeight w:val="23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79,759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79,759</w:t>
            </w:r>
          </w:p>
        </w:tc>
        <w:tc>
          <w:tcPr>
            <w:tcW w:w="5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11,563</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25,413,604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25,689,205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3,724,153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Deferred guarantee income</w:t>
            </w: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1,119,004</w:t>
            </w:r>
          </w:p>
        </w:tc>
        <w:tc>
          <w:tcPr>
            <w:tcW w:w="360" w:type="dxa"/>
            <w:vAlign w:val="bottom"/>
            <w:vMerge w:val="continue"/>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1,130,264</w:t>
            </w:r>
          </w:p>
        </w:tc>
        <w:tc>
          <w:tcPr>
            <w:tcW w:w="3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163,854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from quality assurance commitment</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2,574,842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2,374,176</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344,183</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and welfare payable</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361,188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186,742</w:t>
            </w:r>
          </w:p>
        </w:tc>
        <w:tc>
          <w:tcPr>
            <w:tcW w:w="5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27,072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177,064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428,808</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62,164</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170,408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192,101</w:t>
            </w:r>
          </w:p>
        </w:tc>
        <w:tc>
          <w:tcPr>
            <w:tcW w:w="5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27,849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Funds payable to investors of consolidated trusts</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778,531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974,768</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141,312</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liability</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786,556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787,615</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114,180</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1,448,231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1,380,470</w:t>
            </w:r>
          </w:p>
        </w:tc>
        <w:tc>
          <w:tcPr>
            <w:tcW w:w="5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200,126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Leasing liabilities</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44,711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44,760</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payable</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506,708</w:t>
            </w:r>
          </w:p>
        </w:tc>
        <w:tc>
          <w:tcPr>
            <w:tcW w:w="5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73,457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1,019,266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1,005,162</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145,718</w:t>
            </w:r>
          </w:p>
        </w:tc>
        <w:tc>
          <w:tcPr>
            <w:tcW w:w="0" w:type="dxa"/>
            <w:vAlign w:val="bottom"/>
          </w:tcPr>
          <w:p>
            <w:pPr>
              <w:spacing w:after="0"/>
              <w:rPr>
                <w:sz w:val="1"/>
                <w:szCs w:val="1"/>
                <w:color w:val="auto"/>
              </w:rPr>
            </w:pPr>
          </w:p>
        </w:tc>
      </w:tr>
      <w:tr>
        <w:trPr>
          <w:trHeight w:val="23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89,590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132,118</w:t>
            </w:r>
          </w:p>
        </w:tc>
        <w:tc>
          <w:tcPr>
            <w:tcW w:w="5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19,153</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8,569,617</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9,143,692</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FinVolution Group Shareholders’ equity</w:t>
            </w: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5,908,586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5,942,443</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861,473</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2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(2,465,259)</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(2,736,995)</w:t>
            </w:r>
          </w:p>
        </w:tc>
        <w:tc>
          <w:tcPr>
            <w:tcW w:w="5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(396,781)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reserves</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1,042,312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1,042,312</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151,104</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13,027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38,083</w:t>
            </w:r>
          </w:p>
        </w:tc>
        <w:tc>
          <w:tcPr>
            <w:tcW w:w="5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12,051,332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11,959,686</w:t>
            </w: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1,733,790</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FinVolution Group shareholders’ equity</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16,550,101</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16,245,632</w:t>
            </w:r>
          </w:p>
        </w:tc>
        <w:tc>
          <w:tcPr>
            <w:tcW w:w="3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2,355,122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293,886</w:t>
            </w:r>
          </w:p>
        </w:tc>
        <w:tc>
          <w:tcPr>
            <w:tcW w:w="36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299,881</w:t>
            </w:r>
          </w:p>
        </w:tc>
        <w:tc>
          <w:tcPr>
            <w:tcW w:w="3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16,843,987</w:t>
            </w:r>
          </w:p>
        </w:tc>
        <w:tc>
          <w:tcPr>
            <w:tcW w:w="3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16,545,513</w:t>
            </w:r>
          </w:p>
        </w:tc>
        <w:tc>
          <w:tcPr>
            <w:tcW w:w="3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2,398,596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25,413,604</w:t>
            </w:r>
          </w:p>
        </w:tc>
        <w:tc>
          <w:tcPr>
            <w:tcW w:w="3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25,689,205</w:t>
            </w:r>
          </w:p>
        </w:tc>
        <w:tc>
          <w:tcPr>
            <w:tcW w:w="3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3,724,153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FinVolution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462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1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5300" w:type="dxa"/>
            <w:vAlign w:val="bottom"/>
          </w:tcPr>
          <w:p>
            <w:pPr>
              <w:spacing w:after="0"/>
              <w:rPr>
                <w:sz w:val="20"/>
                <w:szCs w:val="20"/>
                <w:color w:val="auto"/>
              </w:rPr>
            </w:pPr>
          </w:p>
        </w:tc>
        <w:tc>
          <w:tcPr>
            <w:tcW w:w="18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RMB</w:t>
            </w:r>
          </w:p>
        </w:tc>
        <w:tc>
          <w:tcPr>
            <w:tcW w:w="360" w:type="dxa"/>
            <w:vAlign w:val="bottom"/>
          </w:tcPr>
          <w:p>
            <w:pPr>
              <w:spacing w:after="0"/>
              <w:rPr>
                <w:sz w:val="20"/>
                <w:szCs w:val="20"/>
                <w:color w:val="auto"/>
              </w:rPr>
            </w:pPr>
          </w:p>
        </w:tc>
        <w:tc>
          <w:tcPr>
            <w:tcW w:w="24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194"/>
        </w:trPr>
        <w:tc>
          <w:tcPr>
            <w:tcW w:w="5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facilitation service fees</w:t>
            </w:r>
          </w:p>
        </w:tc>
        <w:tc>
          <w:tcPr>
            <w:tcW w:w="21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1,477,798</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1,181,314</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171,255</w:t>
            </w: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Post-facilitation service fees</w:t>
            </w:r>
          </w:p>
        </w:tc>
        <w:tc>
          <w:tcPr>
            <w:tcW w:w="21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380,614</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348,343</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50,499</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 income</w:t>
            </w:r>
          </w:p>
        </w:tc>
        <w:tc>
          <w:tcPr>
            <w:tcW w:w="21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1,099,514</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886,069</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128,453</w:t>
            </w: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21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241,614</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484,681</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70,264</w:t>
            </w:r>
          </w:p>
        </w:tc>
      </w:tr>
      <w:tr>
        <w:trPr>
          <w:trHeight w:val="22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1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281,501</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309,655</w:t>
            </w:r>
          </w:p>
        </w:tc>
        <w:tc>
          <w:tcPr>
            <w:tcW w:w="460" w:type="dxa"/>
            <w:vAlign w:val="bottom"/>
          </w:tcPr>
          <w:p>
            <w:pPr>
              <w:spacing w:after="0"/>
              <w:rPr>
                <w:sz w:val="19"/>
                <w:szCs w:val="19"/>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44,890</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3,481,041</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3,210,062</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Origination, servicing expenses and other costs of revenue</w:t>
            </w:r>
          </w:p>
        </w:tc>
        <w:tc>
          <w:tcPr>
            <w:tcW w:w="21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(620,465)</w:t>
            </w: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(745,172)</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(108,027)</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1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(529,703)</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(492,447)</w:t>
            </w:r>
          </w:p>
        </w:tc>
        <w:tc>
          <w:tcPr>
            <w:tcW w:w="4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(71,390)</w:t>
            </w: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1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(126,041)</w:t>
            </w: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(125,459)</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(18,188)</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1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(106,894)</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(113,843)</w:t>
            </w:r>
          </w:p>
        </w:tc>
        <w:tc>
          <w:tcPr>
            <w:tcW w:w="4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(16,504)</w:t>
            </w: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accounts receivable and contract assets</w:t>
            </w:r>
          </w:p>
        </w:tc>
        <w:tc>
          <w:tcPr>
            <w:tcW w:w="21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(117,718)</w:t>
            </w: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(111,514)</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loans receivable</w:t>
            </w:r>
          </w:p>
        </w:tc>
        <w:tc>
          <w:tcPr>
            <w:tcW w:w="21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(85,414)</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(218,148)</w:t>
            </w:r>
          </w:p>
        </w:tc>
        <w:tc>
          <w:tcPr>
            <w:tcW w:w="4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(31,625)</w:t>
            </w: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losses for quality assurance commitment</w:t>
            </w:r>
          </w:p>
        </w:tc>
        <w:tc>
          <w:tcPr>
            <w:tcW w:w="21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(1,011,615)</w:t>
            </w: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(856,637)</w:t>
            </w:r>
          </w:p>
        </w:tc>
        <w:tc>
          <w:tcPr>
            <w:tcW w:w="4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(124,186)</w:t>
            </w:r>
          </w:p>
        </w:tc>
      </w:tr>
      <w:tr>
        <w:trPr>
          <w:trHeight w:val="209"/>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(2,597,850</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(2,663,220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(386,086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883,191</w:t>
            </w:r>
          </w:p>
        </w:tc>
        <w:tc>
          <w:tcPr>
            <w:tcW w:w="36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79,275</w:t>
            </w:r>
          </w:p>
        </w:tc>
        <w:tc>
          <w:tcPr>
            <w:tcW w:w="100" w:type="dxa"/>
            <w:vAlign w:val="bottom"/>
            <w:shd w:val="clear" w:color="auto" w:fill="CCEEFF"/>
          </w:tcPr>
          <w:p>
            <w:pPr>
              <w:spacing w:after="0"/>
              <w:rPr>
                <w:sz w:val="18"/>
                <w:szCs w:val="18"/>
                <w:color w:val="auto"/>
              </w:rPr>
            </w:pPr>
          </w:p>
        </w:tc>
      </w:tr>
      <w:tr>
        <w:trPr>
          <w:trHeight w:val="21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18"/>
                <w:szCs w:val="18"/>
                <w:color w:val="auto"/>
              </w:rPr>
            </w:pPr>
          </w:p>
        </w:tc>
      </w:tr>
      <w:tr>
        <w:trPr>
          <w:trHeight w:val="22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income/(expenses), net</w:t>
            </w:r>
          </w:p>
        </w:tc>
        <w:tc>
          <w:tcPr>
            <w:tcW w:w="21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9,033</w:t>
            </w: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(15,521)</w:t>
            </w:r>
          </w:p>
        </w:tc>
        <w:tc>
          <w:tcPr>
            <w:tcW w:w="4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before income tax expense</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891,572</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514,174</w:t>
            </w: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74,539</w:t>
            </w:r>
          </w:p>
        </w:tc>
        <w:tc>
          <w:tcPr>
            <w:tcW w:w="100" w:type="dxa"/>
            <w:vAlign w:val="bottom"/>
          </w:tcPr>
          <w:p>
            <w:pPr>
              <w:spacing w:after="0"/>
              <w:rPr>
                <w:sz w:val="18"/>
                <w:szCs w:val="18"/>
                <w:color w:val="auto"/>
              </w:rPr>
            </w:pP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21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(153,931)</w:t>
            </w: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(93,117)</w:t>
            </w:r>
          </w:p>
        </w:tc>
        <w:tc>
          <w:tcPr>
            <w:tcW w:w="4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w:t>
            </w: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737,641</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421,057</w:t>
            </w: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61,040</w:t>
            </w:r>
          </w:p>
        </w:tc>
        <w:tc>
          <w:tcPr>
            <w:tcW w:w="100" w:type="dxa"/>
            <w:vAlign w:val="bottom"/>
          </w:tcPr>
          <w:p>
            <w:pPr>
              <w:spacing w:after="0"/>
              <w:rPr>
                <w:sz w:val="18"/>
                <w:szCs w:val="18"/>
                <w:color w:val="auto"/>
              </w:rPr>
            </w:pPr>
          </w:p>
        </w:tc>
      </w:tr>
      <w:tr>
        <w:trPr>
          <w:trHeight w:val="198"/>
        </w:trPr>
        <w:tc>
          <w:tcPr>
            <w:tcW w:w="5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Net (loss)/profit attributable to non-controlling interest</w:t>
            </w:r>
          </w:p>
        </w:tc>
        <w:tc>
          <w:tcPr>
            <w:tcW w:w="1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21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(8,765)</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5,995</w:t>
            </w:r>
          </w:p>
        </w:tc>
        <w:tc>
          <w:tcPr>
            <w:tcW w:w="4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 attributable to FinVolution Group</w:t>
            </w:r>
          </w:p>
        </w:tc>
        <w:tc>
          <w:tcPr>
            <w:tcW w:w="21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746,406</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415,062</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60,171</w:t>
            </w: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tc>
        <w:tc>
          <w:tcPr>
            <w:tcW w:w="21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(16,273)</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25,056</w:t>
            </w:r>
          </w:p>
        </w:tc>
        <w:tc>
          <w:tcPr>
            <w:tcW w:w="4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3,632</w:t>
            </w:r>
          </w:p>
        </w:tc>
      </w:tr>
      <w:tr>
        <w:trPr>
          <w:trHeight w:val="263"/>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FinVolution Group</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730,133</w:t>
            </w:r>
          </w:p>
        </w:tc>
        <w:tc>
          <w:tcPr>
            <w:tcW w:w="360" w:type="dxa"/>
            <w:vAlign w:val="bottom"/>
            <w:tcBorders>
              <w:bottom w:val="single" w:sz="8" w:color="CCEEFF"/>
            </w:tcBorders>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440,118</w:t>
            </w:r>
          </w:p>
        </w:tc>
        <w:tc>
          <w:tcPr>
            <w:tcW w:w="3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63,803</w:t>
            </w:r>
          </w:p>
        </w:tc>
        <w:tc>
          <w:tcPr>
            <w:tcW w:w="100" w:type="dxa"/>
            <w:vAlign w:val="bottom"/>
            <w:tcBorders>
              <w:bottom w:val="single" w:sz="8" w:color="CCEEFF"/>
            </w:tcBorders>
          </w:tcPr>
          <w:p>
            <w:pPr>
              <w:spacing w:after="0"/>
              <w:rPr>
                <w:sz w:val="22"/>
                <w:szCs w:val="22"/>
                <w:color w:val="auto"/>
              </w:rPr>
            </w:pPr>
          </w:p>
        </w:tc>
      </w:tr>
      <w:tr>
        <w:trPr>
          <w:trHeight w:val="147"/>
        </w:trPr>
        <w:tc>
          <w:tcPr>
            <w:tcW w:w="5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ordinary shares used in computing</w:t>
            </w:r>
          </w:p>
        </w:tc>
        <w:tc>
          <w:tcPr>
            <w:tcW w:w="1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3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per share</w:t>
            </w:r>
          </w:p>
        </w:tc>
        <w:tc>
          <w:tcPr>
            <w:tcW w:w="1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1,265,759,932</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1,194,294,986</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1,194,294,986</w:t>
            </w: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1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1,315,948,116</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1,283,838,301</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1,283,838,301</w:t>
            </w:r>
          </w:p>
        </w:tc>
      </w:tr>
      <w:tr>
        <w:trPr>
          <w:trHeight w:val="194"/>
        </w:trPr>
        <w:tc>
          <w:tcPr>
            <w:tcW w:w="5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profit per share attributable to FinVolution Group’s ordinary</w:t>
            </w: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0.59</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0.35</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1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0.57</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0.33</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0.05</w:t>
            </w:r>
          </w:p>
        </w:tc>
      </w:tr>
      <w:tr>
        <w:trPr>
          <w:trHeight w:val="194"/>
        </w:trPr>
        <w:tc>
          <w:tcPr>
            <w:tcW w:w="5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profit per ADS attributable to FinVolution Group’s ordinary</w:t>
            </w:r>
          </w:p>
        </w:tc>
        <w:tc>
          <w:tcPr>
            <w:tcW w:w="1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(one ADS equals five ordinary shares)</w:t>
            </w:r>
          </w:p>
        </w:tc>
        <w:tc>
          <w:tcPr>
            <w:tcW w:w="1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2.95</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1.74</w:t>
            </w:r>
          </w:p>
        </w:tc>
        <w:tc>
          <w:tcPr>
            <w:tcW w:w="4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1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2.84</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1.65</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0.24</w:t>
            </w:r>
          </w:p>
        </w:tc>
      </w:tr>
      <w:tr>
        <w:trPr>
          <w:trHeight w:val="432"/>
        </w:trPr>
        <w:tc>
          <w:tcPr>
            <w:tcW w:w="5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FinVolution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45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1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9"/>
                <w:szCs w:val="19"/>
                <w:color w:val="auto"/>
              </w:rPr>
            </w:pPr>
          </w:p>
        </w:tc>
        <w:tc>
          <w:tcPr>
            <w:tcW w:w="2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3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60" w:type="dxa"/>
            <w:vAlign w:val="bottom"/>
          </w:tcPr>
          <w:p>
            <w:pPr>
              <w:spacing w:after="0"/>
              <w:rPr>
                <w:sz w:val="18"/>
                <w:szCs w:val="18"/>
                <w:color w:val="auto"/>
              </w:rPr>
            </w:pPr>
          </w:p>
        </w:tc>
        <w:tc>
          <w:tcPr>
            <w:tcW w:w="234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3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522,335</w:t>
            </w:r>
          </w:p>
        </w:tc>
        <w:tc>
          <w:tcPr>
            <w:tcW w:w="23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225,990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32,760</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365,196</w:t>
            </w:r>
          </w:p>
        </w:tc>
        <w:tc>
          <w:tcPr>
            <w:tcW w:w="23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146,022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21,168</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2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(198,331)</w:t>
            </w:r>
          </w:p>
        </w:tc>
        <w:tc>
          <w:tcPr>
            <w:tcW w:w="23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9,418</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1,366</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(11,265)</w:t>
            </w:r>
          </w:p>
        </w:tc>
        <w:tc>
          <w:tcPr>
            <w:tcW w:w="2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(28,748)</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(4,166)</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677,935</w:t>
            </w:r>
          </w:p>
        </w:tc>
        <w:tc>
          <w:tcPr>
            <w:tcW w:w="23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352,682</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51,128</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6,747,072</w:t>
            </w:r>
          </w:p>
        </w:tc>
        <w:tc>
          <w:tcPr>
            <w:tcW w:w="23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6,197,971</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898,517</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7,425,007</w:t>
            </w:r>
          </w:p>
        </w:tc>
        <w:tc>
          <w:tcPr>
            <w:tcW w:w="23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6,550,653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949,645</w:t>
            </w:r>
          </w:p>
        </w:tc>
      </w:tr>
      <w:tr>
        <w:trPr>
          <w:trHeight w:val="432"/>
        </w:trPr>
        <w:tc>
          <w:tcPr>
            <w:tcW w:w="5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FinVolution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46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7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9"/>
                <w:szCs w:val="19"/>
                <w:color w:val="auto"/>
              </w:rPr>
            </w:pPr>
          </w:p>
        </w:tc>
        <w:tc>
          <w:tcPr>
            <w:tcW w:w="2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32"/>
        </w:trPr>
        <w:tc>
          <w:tcPr>
            <w:tcW w:w="5200" w:type="dxa"/>
            <w:vAlign w:val="bottom"/>
          </w:tcPr>
          <w:p>
            <w:pPr>
              <w:spacing w:after="0"/>
              <w:rPr>
                <w:sz w:val="20"/>
                <w:szCs w:val="20"/>
                <w:color w:val="auto"/>
              </w:rPr>
            </w:pPr>
          </w:p>
        </w:tc>
        <w:tc>
          <w:tcPr>
            <w:tcW w:w="17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RMB</w:t>
            </w:r>
          </w:p>
        </w:tc>
        <w:tc>
          <w:tcPr>
            <w:tcW w:w="380" w:type="dxa"/>
            <w:vAlign w:val="bottom"/>
          </w:tcPr>
          <w:p>
            <w:pPr>
              <w:spacing w:after="0"/>
              <w:rPr>
                <w:sz w:val="20"/>
                <w:szCs w:val="20"/>
                <w:color w:val="auto"/>
              </w:rPr>
            </w:pPr>
          </w:p>
        </w:tc>
        <w:tc>
          <w:tcPr>
            <w:tcW w:w="250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60" w:type="dxa"/>
            <w:vAlign w:val="bottom"/>
          </w:tcPr>
          <w:p>
            <w:pPr>
              <w:spacing w:after="0"/>
              <w:rPr>
                <w:sz w:val="20"/>
                <w:szCs w:val="20"/>
                <w:color w:val="auto"/>
              </w:rPr>
            </w:pPr>
          </w:p>
        </w:tc>
      </w:tr>
      <w:tr>
        <w:trPr>
          <w:trHeight w:val="194"/>
        </w:trPr>
        <w:tc>
          <w:tcPr>
            <w:tcW w:w="5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3,481,041</w:t>
            </w:r>
          </w:p>
        </w:tc>
        <w:tc>
          <w:tcPr>
            <w:tcW w:w="25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3,210,062</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465,361</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 total operating expenses</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(2,597,850)</w:t>
            </w:r>
          </w:p>
        </w:tc>
        <w:tc>
          <w:tcPr>
            <w:tcW w:w="25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(2,663,220)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(386,086)</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883,191</w:t>
            </w:r>
          </w:p>
        </w:tc>
        <w:tc>
          <w:tcPr>
            <w:tcW w:w="25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546,842</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79,275</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2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34,679</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38,173</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5,534</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operating profit</w:t>
            </w:r>
          </w:p>
        </w:tc>
        <w:tc>
          <w:tcPr>
            <w:tcW w:w="2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917,870</w:t>
            </w:r>
          </w:p>
        </w:tc>
        <w:tc>
          <w:tcPr>
            <w:tcW w:w="25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585,015</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84,809</w:t>
            </w:r>
          </w:p>
        </w:tc>
      </w:tr>
      <w:tr>
        <w:trPr>
          <w:trHeight w:val="216"/>
        </w:trPr>
        <w:tc>
          <w:tcPr>
            <w:tcW w:w="5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2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25.4%</w:t>
            </w:r>
          </w:p>
        </w:tc>
        <w:tc>
          <w:tcPr>
            <w:tcW w:w="25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17.0%</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margin</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w:t>
            </w:r>
          </w:p>
        </w:tc>
        <w:tc>
          <w:tcPr>
            <w:tcW w:w="25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18.2%</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operating profit</w:t>
            </w:r>
          </w:p>
        </w:tc>
        <w:tc>
          <w:tcPr>
            <w:tcW w:w="2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917,870</w:t>
            </w:r>
          </w:p>
        </w:tc>
        <w:tc>
          <w:tcPr>
            <w:tcW w:w="25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585,015</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84,809</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expenses</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w:t>
            </w:r>
          </w:p>
        </w:tc>
        <w:tc>
          <w:tcPr>
            <w:tcW w:w="25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(17,147)</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(2,486)</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other income/(expenses), net</w:t>
            </w:r>
          </w:p>
        </w:tc>
        <w:tc>
          <w:tcPr>
            <w:tcW w:w="2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9,033</w:t>
            </w:r>
          </w:p>
        </w:tc>
        <w:tc>
          <w:tcPr>
            <w:tcW w:w="25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(15,521)</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expenses</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(153,931)</w:t>
            </w:r>
          </w:p>
        </w:tc>
        <w:tc>
          <w:tcPr>
            <w:tcW w:w="25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(93,117)</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(13,499)</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profit</w:t>
            </w:r>
          </w:p>
        </w:tc>
        <w:tc>
          <w:tcPr>
            <w:tcW w:w="2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772,320</w:t>
            </w:r>
          </w:p>
        </w:tc>
        <w:tc>
          <w:tcPr>
            <w:tcW w:w="25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459,230</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66,574</w:t>
            </w: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(loss)/profit attributable to non-controlling interest</w:t>
            </w: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(8,765)</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5,995</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profit attributable to FinVolution Group</w:t>
            </w:r>
          </w:p>
        </w:tc>
        <w:tc>
          <w:tcPr>
            <w:tcW w:w="2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781,085</w:t>
            </w:r>
          </w:p>
        </w:tc>
        <w:tc>
          <w:tcPr>
            <w:tcW w:w="25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453,235</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65,705</w:t>
            </w:r>
          </w:p>
        </w:tc>
      </w:tr>
      <w:tr>
        <w:trPr>
          <w:trHeight w:val="216"/>
        </w:trPr>
        <w:tc>
          <w:tcPr>
            <w:tcW w:w="5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4"/>
        </w:trPr>
        <w:tc>
          <w:tcPr>
            <w:tcW w:w="5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w:t>
            </w:r>
          </w:p>
        </w:tc>
        <w:tc>
          <w:tcPr>
            <w:tcW w:w="1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per share</w:t>
            </w:r>
          </w:p>
        </w:tc>
        <w:tc>
          <w:tcPr>
            <w:tcW w:w="1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1,265,759,932</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1,194,294,986</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1,194,294,986</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1,315,948,116</w:t>
            </w:r>
          </w:p>
        </w:tc>
        <w:tc>
          <w:tcPr>
            <w:tcW w:w="25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1,283,838,301</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1,283,838,301</w:t>
            </w:r>
          </w:p>
        </w:tc>
      </w:tr>
      <w:tr>
        <w:trPr>
          <w:trHeight w:val="194"/>
        </w:trPr>
        <w:tc>
          <w:tcPr>
            <w:tcW w:w="5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net profit per share attributable to FinVolution</w:t>
            </w: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Group’s ordinary shareholders</w:t>
            </w: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0.62</w:t>
            </w:r>
          </w:p>
        </w:tc>
        <w:tc>
          <w:tcPr>
            <w:tcW w:w="25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0.38</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0.59</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0.36</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r>
      <w:tr>
        <w:trPr>
          <w:trHeight w:val="194"/>
        </w:trPr>
        <w:tc>
          <w:tcPr>
            <w:tcW w:w="5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net profit per ADS attributable to FinVolution</w:t>
            </w:r>
          </w:p>
        </w:tc>
        <w:tc>
          <w:tcPr>
            <w:tcW w:w="1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Group’s ordinary shareholders (one ADS equals five ordinary</w:t>
            </w: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3.09</w:t>
            </w: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1.90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2.97</w:t>
            </w:r>
          </w:p>
        </w:tc>
        <w:tc>
          <w:tcPr>
            <w:tcW w:w="25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1.80</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r>
      <w:tr>
        <w:trPr>
          <w:trHeight w:val="432"/>
        </w:trPr>
        <w:tc>
          <w:tcPr>
            <w:tcW w:w="5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FinVolution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Segment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data, or otherwise noted)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637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8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Chinese</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Overseas</w:t>
            </w:r>
          </w:p>
        </w:tc>
        <w:tc>
          <w:tcPr>
            <w:tcW w:w="14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Others</w:t>
            </w:r>
            <w:r>
              <w:rPr>
                <w:rFonts w:ascii="Times New Roman" w:cs="Times New Roman" w:eastAsia="Times New Roman" w:hAnsi="Times New Roman"/>
                <w:sz w:val="29"/>
                <w:szCs w:val="29"/>
                <w:b w:val="1"/>
                <w:bCs w:val="1"/>
                <w:color w:val="auto"/>
                <w:w w:val="92"/>
                <w:vertAlign w:val="superscript"/>
              </w:rPr>
              <w:t>(2)</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Mainland</w:t>
            </w:r>
          </w:p>
        </w:tc>
        <w:tc>
          <w:tcPr>
            <w:tcW w:w="1480" w:type="dxa"/>
            <w:vAlign w:val="bottom"/>
            <w:gridSpan w:val="2"/>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3"/>
              </w:rPr>
              <w:t>Markets</w:t>
            </w:r>
            <w:r>
              <w:rPr>
                <w:rFonts w:ascii="Times New Roman" w:cs="Times New Roman" w:eastAsia="Times New Roman" w:hAnsi="Times New Roman"/>
                <w:sz w:val="29"/>
                <w:szCs w:val="29"/>
                <w:b w:val="1"/>
                <w:bCs w:val="1"/>
                <w:color w:val="auto"/>
                <w:w w:val="93"/>
                <w:vertAlign w:val="superscript"/>
              </w:rPr>
              <w:t>(1)</w:t>
            </w:r>
          </w:p>
        </w:tc>
        <w:tc>
          <w:tcPr>
            <w:tcW w:w="1460" w:type="dxa"/>
            <w:vAlign w:val="bottom"/>
            <w:gridSpan w:val="2"/>
            <w:vMerge w:val="continue"/>
          </w:tcPr>
          <w:p>
            <w:pPr>
              <w:spacing w:after="0"/>
              <w:rPr>
                <w:sz w:val="23"/>
                <w:szCs w:val="2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Elimination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1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2,216,096</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948,946</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50,148</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3,210,062</w:t>
            </w:r>
          </w:p>
        </w:tc>
        <w:tc>
          <w:tcPr>
            <w:tcW w:w="0" w:type="dxa"/>
            <w:vAlign w:val="bottom"/>
          </w:tcPr>
          <w:p>
            <w:pPr>
              <w:spacing w:after="0"/>
              <w:rPr>
                <w:sz w:val="1"/>
                <w:szCs w:val="1"/>
                <w:color w:val="auto"/>
              </w:rPr>
            </w:pPr>
          </w:p>
        </w:tc>
      </w:tr>
      <w:tr>
        <w:trPr>
          <w:trHeight w:val="270"/>
        </w:trPr>
        <w:tc>
          <w:tcPr>
            <w:tcW w:w="41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Operating Expenses </w:t>
            </w:r>
            <w:r>
              <w:rPr>
                <w:rFonts w:ascii="Times New Roman" w:cs="Times New Roman" w:eastAsia="Times New Roman" w:hAnsi="Times New Roman"/>
                <w:sz w:val="29"/>
                <w:szCs w:val="29"/>
                <w:color w:val="auto"/>
                <w:vertAlign w:val="superscript"/>
              </w:rPr>
              <w:t>(4)</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(1,617,349)</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(903,196)</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(88,761)</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5,128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(2,604,178)</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Segment Profit/(Loss)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598,747</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45,750</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(38,613)</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Less: Unallocated expenses</w:t>
            </w:r>
            <w:r>
              <w:rPr>
                <w:rFonts w:ascii="Times New Roman" w:cs="Times New Roman" w:eastAsia="Times New Roman" w:hAnsi="Times New Roman"/>
                <w:sz w:val="29"/>
                <w:szCs w:val="29"/>
                <w:color w:val="auto"/>
                <w:vertAlign w:val="superscript"/>
              </w:rPr>
              <w:t>(5)</w:t>
            </w: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(59,042)</w:t>
            </w:r>
          </w:p>
        </w:tc>
        <w:tc>
          <w:tcPr>
            <w:tcW w:w="0" w:type="dxa"/>
            <w:vAlign w:val="bottom"/>
          </w:tcPr>
          <w:p>
            <w:pPr>
              <w:spacing w:after="0"/>
              <w:rPr>
                <w:sz w:val="1"/>
                <w:szCs w:val="1"/>
                <w:color w:val="auto"/>
              </w:rPr>
            </w:pPr>
          </w:p>
        </w:tc>
      </w:tr>
      <w:tr>
        <w:trPr>
          <w:trHeight w:val="237"/>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1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Chinese</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Overseas</w:t>
            </w:r>
          </w:p>
        </w:tc>
        <w:tc>
          <w:tcPr>
            <w:tcW w:w="14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Others</w:t>
            </w:r>
            <w:r>
              <w:rPr>
                <w:rFonts w:ascii="Times New Roman" w:cs="Times New Roman" w:eastAsia="Times New Roman" w:hAnsi="Times New Roman"/>
                <w:sz w:val="29"/>
                <w:szCs w:val="29"/>
                <w:b w:val="1"/>
                <w:bCs w:val="1"/>
                <w:color w:val="auto"/>
                <w:w w:val="92"/>
                <w:vertAlign w:val="superscript"/>
              </w:rPr>
              <w:t>(2)</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Mainland</w:t>
            </w:r>
          </w:p>
        </w:tc>
        <w:tc>
          <w:tcPr>
            <w:tcW w:w="1480" w:type="dxa"/>
            <w:vAlign w:val="bottom"/>
            <w:gridSpan w:val="2"/>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3"/>
              </w:rPr>
              <w:t>Markets</w:t>
            </w:r>
            <w:r>
              <w:rPr>
                <w:rFonts w:ascii="Times New Roman" w:cs="Times New Roman" w:eastAsia="Times New Roman" w:hAnsi="Times New Roman"/>
                <w:sz w:val="29"/>
                <w:szCs w:val="29"/>
                <w:b w:val="1"/>
                <w:bCs w:val="1"/>
                <w:color w:val="auto"/>
                <w:w w:val="93"/>
                <w:vertAlign w:val="superscript"/>
              </w:rPr>
              <w:t>(1)</w:t>
            </w:r>
          </w:p>
        </w:tc>
        <w:tc>
          <w:tcPr>
            <w:tcW w:w="1460" w:type="dxa"/>
            <w:vAlign w:val="bottom"/>
            <w:gridSpan w:val="2"/>
            <w:vMerge w:val="continue"/>
          </w:tcPr>
          <w:p>
            <w:pPr>
              <w:spacing w:after="0"/>
              <w:rPr>
                <w:sz w:val="23"/>
                <w:szCs w:val="2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Elimination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1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2,770,160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705,343</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8,250</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3,481,041</w:t>
            </w:r>
          </w:p>
        </w:tc>
        <w:tc>
          <w:tcPr>
            <w:tcW w:w="0" w:type="dxa"/>
            <w:vAlign w:val="bottom"/>
          </w:tcPr>
          <w:p>
            <w:pPr>
              <w:spacing w:after="0"/>
              <w:rPr>
                <w:sz w:val="1"/>
                <w:szCs w:val="1"/>
                <w:color w:val="auto"/>
              </w:rPr>
            </w:pPr>
          </w:p>
        </w:tc>
      </w:tr>
      <w:tr>
        <w:trPr>
          <w:trHeight w:val="270"/>
        </w:trPr>
        <w:tc>
          <w:tcPr>
            <w:tcW w:w="41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Operating Expenses </w:t>
            </w:r>
            <w:r>
              <w:rPr>
                <w:rFonts w:ascii="Times New Roman" w:cs="Times New Roman" w:eastAsia="Times New Roman" w:hAnsi="Times New Roman"/>
                <w:sz w:val="29"/>
                <w:szCs w:val="29"/>
                <w:color w:val="auto"/>
                <w:vertAlign w:val="superscript"/>
              </w:rPr>
              <w:t>(4)</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(1,857,018)</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(680,964)</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(27,901)</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(2,563,171)</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Segment Profit/(Loss)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913,142</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24,379</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Less: Unallocated expenses</w:t>
            </w:r>
            <w:r>
              <w:rPr>
                <w:rFonts w:ascii="Times New Roman" w:cs="Times New Roman" w:eastAsia="Times New Roman" w:hAnsi="Times New Roman"/>
                <w:sz w:val="29"/>
                <w:szCs w:val="29"/>
                <w:color w:val="auto"/>
                <w:vertAlign w:val="superscript"/>
              </w:rPr>
              <w:t>(5)</w:t>
            </w: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(34,679)</w:t>
            </w:r>
          </w:p>
        </w:tc>
        <w:tc>
          <w:tcPr>
            <w:tcW w:w="0" w:type="dxa"/>
            <w:vAlign w:val="bottom"/>
          </w:tcPr>
          <w:p>
            <w:pPr>
              <w:spacing w:after="0"/>
              <w:rPr>
                <w:sz w:val="1"/>
                <w:szCs w:val="1"/>
                <w:color w:val="auto"/>
              </w:rPr>
            </w:pPr>
          </w:p>
        </w:tc>
      </w:tr>
      <w:tr>
        <w:trPr>
          <w:trHeight w:val="237"/>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1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883,191</w:t>
            </w: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“Overseas Markets” includes Indonesia, the Philippines and 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“Others” includes a combination of multiple business activities that each does not meet the quantitative thresholds to qualify as reportable segments.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significant expense categories and amounts align with the segment-level information that is regularly provided to the CODM.</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(4): “Operating Expenses” includes Origination, servicing expenses and other costs of revenue, Sales and marketing expenses, General and administrative expenses, Research and development expenses, Credit losses for quality assurance commitment, Provision for loans receivable and Provision for accounts receivable and contract assets.</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(5): Unallocated expenses are mainly related to share-based compensation, impairment of goodwill of prior acquisitions, and other miscellaneous items that are not allocated to segments. These expenses are excluded from segment results as they are not reviewed by the CODM as part of segment performance.</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FinVolution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Segment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data, or otherwise noted)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Chinese</w:t>
            </w:r>
          </w:p>
        </w:tc>
        <w:tc>
          <w:tcPr>
            <w:tcW w:w="14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Overseas</w:t>
            </w: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Unallocated</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18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Mainland</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598,747</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45,750</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(38,613)</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(59,042)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546,842</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16,180</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1,785</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18,081</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38,173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38,173</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614,927</w:t>
            </w:r>
          </w:p>
        </w:tc>
        <w:tc>
          <w:tcPr>
            <w:tcW w:w="3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47,535</w:t>
            </w:r>
          </w:p>
        </w:tc>
        <w:tc>
          <w:tcPr>
            <w:tcW w:w="3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(38,497)</w:t>
            </w:r>
          </w:p>
        </w:tc>
        <w:tc>
          <w:tcPr>
            <w:tcW w:w="3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3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603,096</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Chinese</w:t>
            </w:r>
          </w:p>
        </w:tc>
        <w:tc>
          <w:tcPr>
            <w:tcW w:w="14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Overseas</w:t>
            </w: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Unallocated</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18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Mainland</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1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913,142</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24,379</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(19,651)</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883,191</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16,919</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1,104</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18,034</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34,679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34,679</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930,061</w:t>
            </w:r>
          </w:p>
        </w:tc>
        <w:tc>
          <w:tcPr>
            <w:tcW w:w="3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25,483</w:t>
            </w:r>
          </w:p>
        </w:tc>
        <w:tc>
          <w:tcPr>
            <w:tcW w:w="3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3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935,904</w:t>
            </w:r>
          </w:p>
        </w:tc>
        <w:tc>
          <w:tcPr>
            <w:tcW w:w="100" w:type="dxa"/>
            <w:vAlign w:val="bottom"/>
          </w:tcPr>
          <w:p>
            <w:pPr>
              <w:spacing w:after="0"/>
              <w:rPr>
                <w:sz w:val="19"/>
                <w:szCs w:val="19"/>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“Non-GAAP Adjusted EBITDA” represents operating profit (loss) plus (a) depreciation and amortization expenses and (b) share-based compensation expenses.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FinVolution Group Announces New Share Repurchase Program of Up to US$150 million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SHANGHAI, May 25, 2026 /PRNewswire/ — FinVolution Group (“FinVolution,” or the “Company”) (NYSE: FINV), a leading fintech platform across China and overseas markets, today announced that the board of directors of the Company (the “Board”) has authorized a new share repurchase program (the “New Share Repurchase Program”) effective on May 30, 2026. Pursuant to the New Share Repurchase Program, the Company may repurchase up to US$150.0 million worth of its shares (including ADSs) during the period from May 30, 2026 to May 29, 2028.</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Tiezheng Li, Vice Chairman and Chief Executive Officer of FinVolution Group, said, “Shareholder return remains a cornerstone of our capital allocation strategy. Since the initial launch of our first share repurchase program on March 21, 2018, through March 31, 2026, we have cumulatively deployed approximately US$516.7 million to repurchase the Company’s ADSs. The New Share Repurchase Program is also our fifth share repurchase program, reflecting our continued commitment to shareholder value creation. Supported by a healthy balance sheet and strong confidence in our ‘Local Excellence, Global Outlook+’ strategy, we continue to believe in the underlying value of the investment in our own equity.”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Shaofeng Gu, Chairman of FinVolution Group, added, “The Board’s approval of this new program reflects our conviction in the Company’s growth trajectory and disciplined approach to capital allocation. As our international platform continues to gain traction across multiple geographies and our domestic operations deliver stable profitability, we believe share buybacks represent a compelling use of capital. We are confident in our ability to deliver sustainable long-term returns to our stakeholders.”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proposed repurchases may be made from time to time on the open market at prevailing market prices, in privately negotiated transactions, in block trades and/or through other legally permissible means, depending on market conditions and in accordance with applicable rules and regulations. The Board will review the share repurchase program periodically, and may authorize adjustment of its terms and size.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FinVolution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FinVolution Group is a leading fintech platform with strong brand recognition across China and overseas markets, connecting borrowers of the young generation with financial institutions. Established in 2007, the Company is a pioneer in China’s online consumer finance industry and has developed innovative technologies and has accumulated in-depth experience in the core areas of credit risk assessment, fraud detection, big data and artificial intelligence. The Company’s platforms, empowered by proprietary cutting-edge technologies, features a highly automated loan transaction process, which enables a superior user experience. As of March 31, 2026, the Company had 246.5 million cumulative registered users across China and overseas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https://ir.finvgroup.com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“target,”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risks, uncertainties and other factors that could cause actual results to differ materially from those contained in any such statements. Potential risks and uncertainties include, but are not limited to, uncertainties as to the Company’s ability to attract and retain borrowers and investors on its marketplace, its ability to increase volume of loans facilitated through the Company’s marketplace, its ability to introduce new loan products and platform enhancements, its ability to compete effectively, laws, regulations and governmental policies relating to the online consumer finance industry in China, general economic conditions in China, and the Company’s ability to meet the standards necessary to maintain listing of its ADSs on the NYSE, including its ability to cure any non-compliance with the NYSE’s continued listing criteria. Further information regarding these and other risks, uncertainties or factors is included in the Company’s filings with the U.S. Securities and Exchange Commission. All information provided in this press release is as of the date of this press release, and FinVolution does not undertake any obligation to update any forward-looking statement as a result of new information, future events or otherwise,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FinVolution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Capital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Yam Cheng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(21) 8030 3200 Ext. 8601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ir@xinye.com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finv@tpg-ir.com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finv@tpg-ir.com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5"/>
      <w:numFmt w:val="bullet"/>
      <w:start w:val="1"/>
    </w:lvl>
  </w:abstractNum>
  <w:abstractNum w:abstractNumId="7">
    <w:nsid w:val="12200854"/>
    <w:multiLevelType w:val="hybridMultilevel"/>
    <w:lvl w:ilvl="0">
      <w:lvlJc w:val="left"/>
      <w:lvlText w:val="7"/>
      <w:numFmt w:val="bullet"/>
      <w:start w:val="1"/>
    </w:lvl>
  </w:abstractNum>
  <w:abstractNum w:abstractNumId="8">
    <w:nsid w:val="4DB127F8"/>
    <w:multiLevelType w:val="hybridMultilevel"/>
    <w:lvl w:ilvl="0">
      <w:lvlJc w:val="left"/>
      <w:lvlText w:val="8"/>
      <w:numFmt w:val="bullet"/>
      <w:start w:val="1"/>
    </w:lvl>
  </w:abstractNum>
  <w:abstractNum w:abstractNumId="9">
    <w:nsid w:val="216231B"/>
    <w:multiLevelType w:val="hybridMultilevel"/>
    <w:lvl w:ilvl="0">
      <w:lvlJc w:val="left"/>
      <w:lvlText w:val="9"/>
      <w:numFmt w:val="bullet"/>
      <w:start w:val="1"/>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2026-05-26T05:18:09Z</dcterms:created>
  <dcterms:modified xsi:type="dcterms:W3CDTF">2026-05-26T05:18:09Z</dcterms:modified>
</cp:coreProperties>
</file>