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form6-k.htm"/>
      <w:bookmarkStart w:id="1" w:name="ksform6k"/>
      <w:bookmarkEnd w:id="0"/>
      <w:bookmarkEnd w:id="1"/>
      <w:r>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001-38269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FinVolution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G1, No. 999 Dangui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Pudong New District, Shanghai 201203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FinVolution Group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Jiayuan Xu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Jiayuan Xu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28,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hyperlink w:anchor="ex99-1.htm">
        <w:r>
          <w:rPr>
            <w:rStyle w:val="InternetLink"/>
            <w:rFonts w:ascii="Times New Roman;Times;Serif" w:hAnsi="Times New Roman;Times;Serif"/>
            <w:b w:val="false"/>
            <w:i w:val="false"/>
            <w:caps w:val="false"/>
            <w:smallCaps w:val="false"/>
            <w:sz w:val="20"/>
          </w:rPr>
          <w:t>Exhibit 99.1—Press Release—FinVolution Group Reports Second Quarter 2026 Unaudited Financial Results</w:t>
        </w:r>
      </w:hyperlink>
    </w:p>
    <w:p>
      <w:pPr>
        <w:pStyle w:val="TextBody"/>
        <w:bidi w:val="0"/>
        <w:spacing w:before="0" w:after="0"/>
        <w:ind w:left="0" w:right="0" w:hanging="0"/>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 Reports Second Quarter 2026 Unaudited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August 27, 2026 /GLOBE NEWSWIRE/ — FinVolution Group (“FinVolution” or the “Company”) (NYSE: FINV), a leading fintech platform across China and overseas markets, today announced its unaudited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tbl>
      <w:tblPr>
        <w:tblW w:w="10054" w:type="dxa"/>
        <w:jc w:val="left"/>
        <w:tblInd w:w="0" w:type="dxa"/>
        <w:tblLayout w:type="fixed"/>
        <w:tblCellMar>
          <w:top w:w="0" w:type="dxa"/>
          <w:left w:w="0" w:type="dxa"/>
          <w:bottom w:w="0" w:type="dxa"/>
          <w:right w:w="0" w:type="dxa"/>
        </w:tblCellMar>
      </w:tblPr>
      <w:tblGrid>
        <w:gridCol w:w="5180"/>
        <w:gridCol w:w="60"/>
        <w:gridCol w:w="193"/>
        <w:gridCol w:w="1416"/>
        <w:gridCol w:w="193"/>
        <w:gridCol w:w="193"/>
        <w:gridCol w:w="193"/>
        <w:gridCol w:w="1416"/>
        <w:gridCol w:w="60"/>
        <w:gridCol w:w="60"/>
        <w:gridCol w:w="85"/>
        <w:gridCol w:w="730"/>
        <w:gridCol w:w="275"/>
      </w:tblGrid>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YoY</w:t>
            </w:r>
          </w:p>
        </w:tc>
        <w:tc>
          <w:tcPr>
            <w:tcW w:w="275"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9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75"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Transaction Volume (RMB in billions)</w:t>
            </w:r>
            <w:r>
              <w:rPr>
                <w:rFonts w:ascii="Times New Roman;Times;Serif" w:hAnsi="Times New Roman;Times;Serif"/>
                <w:b/>
                <w:position w:val="7"/>
                <w:sz w:val="16"/>
                <w:sz w:val="20"/>
              </w:rPr>
              <w:t xml:space="preserve">1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b/>
              </w:rPr>
            </w:pPr>
            <w:r>
              <w:rPr>
                <w:b/>
              </w:rPr>
              <w:t>54.0</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b/>
              </w:rPr>
            </w:pPr>
            <w:r>
              <w:rPr>
                <w:b/>
              </w:rPr>
              <w:t>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rPr>
            </w:pPr>
            <w:r>
              <w:rPr>
                <w:b/>
              </w:rPr>
              <w:t>-17.0</w:t>
            </w:r>
          </w:p>
        </w:tc>
        <w:tc>
          <w:tcPr>
            <w:tcW w:w="275" w:type="dxa"/>
            <w:tcBorders/>
            <w:shd w:fill="CCEEFF" w:val="clear"/>
            <w:vAlign w:val="center"/>
          </w:tcPr>
          <w:p>
            <w:pPr>
              <w:pStyle w:val="TableContents"/>
              <w:bidi w:val="0"/>
              <w:spacing w:before="0" w:after="283"/>
              <w:jc w:val="left"/>
              <w:rPr>
                <w:b/>
              </w:rPr>
            </w:pPr>
            <w:r>
              <w:rPr>
                <w:b/>
              </w:rPr>
              <w:t>%</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Chinese Mainland</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416" w:type="dxa"/>
            <w:tcBorders/>
            <w:shd w:fill="FFFFFF" w:val="clear"/>
            <w:vAlign w:val="center"/>
          </w:tcPr>
          <w:p>
            <w:pPr>
              <w:pStyle w:val="TableContents"/>
              <w:bidi w:val="0"/>
              <w:spacing w:before="0" w:after="283"/>
              <w:jc w:val="right"/>
              <w:rPr/>
            </w:pPr>
            <w:r>
              <w:rPr/>
              <w:t>50.8</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416" w:type="dxa"/>
            <w:tcBorders/>
            <w:shd w:fill="FFFFFF" w:val="clear"/>
            <w:vAlign w:val="center"/>
          </w:tcPr>
          <w:p>
            <w:pPr>
              <w:pStyle w:val="TableContents"/>
              <w:bidi w:val="0"/>
              <w:spacing w:before="0" w:after="283"/>
              <w:jc w:val="right"/>
              <w:rPr/>
            </w:pPr>
            <w:r>
              <w:rPr/>
              <w:t>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-19.3</w:t>
            </w:r>
          </w:p>
        </w:tc>
        <w:tc>
          <w:tcPr>
            <w:tcW w:w="275" w:type="dxa"/>
            <w:tcBorders/>
            <w:shd w:fill="FFFFFF" w:val="clear"/>
            <w:vAlign w:val="center"/>
          </w:tcPr>
          <w:p>
            <w:pPr>
              <w:pStyle w:val="TableContents"/>
              <w:bidi w:val="0"/>
              <w:spacing w:before="0" w:after="283"/>
              <w:jc w:val="left"/>
              <w:rPr/>
            </w:pPr>
            <w:r>
              <w:rPr/>
              <w:t>%</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Overseas Markets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3.2</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18.8</w:t>
            </w:r>
          </w:p>
        </w:tc>
        <w:tc>
          <w:tcPr>
            <w:tcW w:w="275" w:type="dxa"/>
            <w:tcBorders/>
            <w:shd w:fill="CCEEFF" w:val="clear"/>
            <w:vAlign w:val="center"/>
          </w:tcPr>
          <w:p>
            <w:pPr>
              <w:pStyle w:val="TableContents"/>
              <w:bidi w:val="0"/>
              <w:spacing w:before="0" w:after="283"/>
              <w:jc w:val="left"/>
              <w:rPr/>
            </w:pPr>
            <w:r>
              <w:rPr/>
              <w:t>%</w:t>
            </w:r>
          </w:p>
        </w:tc>
      </w:tr>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41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4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b/>
              </w:rPr>
            </w:pPr>
            <w:r>
              <w:rPr>
                <w:b/>
              </w:rPr>
              <w:t>Total Outstanding Loan Balance (RMB in billions)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b/>
              </w:rPr>
            </w:pPr>
            <w:r>
              <w:rPr>
                <w:b/>
              </w:rPr>
              <w:t>77.5</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b/>
              </w:rPr>
            </w:pPr>
            <w:r>
              <w:rPr>
                <w:b/>
              </w:rPr>
              <w:t>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rPr>
            </w:pPr>
            <w:r>
              <w:rPr>
                <w:b/>
              </w:rPr>
              <w:t>-12.4</w:t>
            </w:r>
          </w:p>
        </w:tc>
        <w:tc>
          <w:tcPr>
            <w:tcW w:w="275" w:type="dxa"/>
            <w:tcBorders/>
            <w:shd w:fill="CCEEFF" w:val="clear"/>
            <w:vAlign w:val="center"/>
          </w:tcPr>
          <w:p>
            <w:pPr>
              <w:pStyle w:val="TableContents"/>
              <w:bidi w:val="0"/>
              <w:spacing w:before="0" w:after="283"/>
              <w:jc w:val="left"/>
              <w:rPr>
                <w:b/>
              </w:rPr>
            </w:pPr>
            <w:r>
              <w:rPr>
                <w:b/>
              </w:rPr>
              <w:t>%</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Chinese Mainland</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416" w:type="dxa"/>
            <w:tcBorders/>
            <w:shd w:fill="FFFFFF" w:val="clear"/>
            <w:vAlign w:val="center"/>
          </w:tcPr>
          <w:p>
            <w:pPr>
              <w:pStyle w:val="TableContents"/>
              <w:bidi w:val="0"/>
              <w:spacing w:before="0" w:after="283"/>
              <w:jc w:val="right"/>
              <w:rPr/>
            </w:pPr>
            <w:r>
              <w:rPr/>
              <w:t>75.4</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416" w:type="dxa"/>
            <w:tcBorders/>
            <w:shd w:fill="FFFFFF" w:val="clear"/>
            <w:vAlign w:val="center"/>
          </w:tcPr>
          <w:p>
            <w:pPr>
              <w:pStyle w:val="TableContents"/>
              <w:bidi w:val="0"/>
              <w:spacing w:before="0" w:after="283"/>
              <w:jc w:val="right"/>
              <w:rPr/>
            </w:pPr>
            <w:r>
              <w:rPr/>
              <w:t>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-13.3</w:t>
            </w:r>
          </w:p>
        </w:tc>
        <w:tc>
          <w:tcPr>
            <w:tcW w:w="275" w:type="dxa"/>
            <w:tcBorders/>
            <w:shd w:fill="FFFFFF" w:val="clear"/>
            <w:vAlign w:val="center"/>
          </w:tcPr>
          <w:p>
            <w:pPr>
              <w:pStyle w:val="TableContents"/>
              <w:bidi w:val="0"/>
              <w:spacing w:before="0" w:after="283"/>
              <w:jc w:val="left"/>
              <w:rPr/>
            </w:pPr>
            <w:r>
              <w:rPr/>
              <w:t>%</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Overseas Markets</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2.1</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19.0</w:t>
            </w:r>
          </w:p>
        </w:tc>
        <w:tc>
          <w:tcPr>
            <w:tcW w:w="27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Chinese Mainland Market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registered users reached 192.8 million as of June 30, 2026, an increase of 6.6% compared with June 30,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borrowers reached 30.1 million as of June 30, 2026, an increase of 7.9% compared with June 30,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unique borrowers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for the second quarter of 2026 was 1.8 million, a decrease of 18.2% compared with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volume</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was RMB41.0 billion for the second quarter of 2026, a decrease of 19.3% compared with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volume facilitated for repeat individual borrowers</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for the second quarter of 2026 was RMB34.8 billion, a decrease of 20.5% compared with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loan balance</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was RMB65.4 billion as of June 30, 2026, a decrease of 13.3% compared with June 30,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loan size was RMB10,742 for the second quarter of 2026, compared with RMB10,056 for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loan tenure was 8.5 months for the second quarter of 2026, compared with 8.3 months for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 day+ delinquency ratio</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was 2.10% as of June 30, 2026.</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was RMB2,396.7 million (US$353.2 million) for the second quarter of 2026, compared with RMB2,781.3 million for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operating profit</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was RMB624.8 million (US$92.1 million) for the second quarter of 2026, compared with RMB913.6 million for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adjusted EBITDA</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which excludes depreciation and amortization and share-based compensation expenses from operating profit, was RMB641.9 million (US$94.6 million) for the second quarter of 2026, compared with RMB930.6 million for the same period of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Represents the total transaction volume facilitated in the Chinese Mainland and overseas markets on the Company’s platform during the period presented.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Represents our transaction volume facilitated in the Chinese Mainland during the period presented. During the second quarter, RMB14.4 billion was facilitated under the capital-light model, for which the Company does not bear principal risk.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Represents our transaction volume facilitated in Indonesia, the Philippines and Australia during the period presented.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Outstanding loan balance as of any date refers to the balance of outstanding loans in the Chinese Mainland market excluding loans delinquent for more than 180 days from such date. As of June 30, 2026, RMB33.4 billion was facilitated under the capital-light model, for which the Company does not bear principal risk.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Outstanding loan balance as of any date refers to the balance of outstanding loans in Indonesia, the Philippines and Australia excluding loans delinquent for more than 30 days from such date.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Represents the total number of borrowers in the Chinese Mainland who successfully borrowed on the Company’s platform during the period presented.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Represents the transaction volume facilitated for borrowers who had historically completed a transaction on the Company’s platform in the Chinese Mainland during the period presented.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“90 day+ delinquency ratio” refers to the outstanding principal balance of loans, excluding loans facilitated under the capital-light model, that were 90 to 179 calendar days past due as a percentage of the total outstanding principal balance of loans, excluding loans facilitated under the capital-light model on the Company’s platform as of a specific date. Loans that originated outside the Chinese Mainland are not included in the calculation.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9 </w:t>
      </w:r>
      <w:r>
        <w:rPr>
          <w:rFonts w:ascii="Times New Roman;Times;Serif" w:hAnsi="Times New Roman;Times;Serif"/>
          <w:b w:val="false"/>
          <w:i w:val="false"/>
          <w:caps w:val="false"/>
          <w:smallCaps w:val="false"/>
          <w:sz w:val="20"/>
        </w:rPr>
        <w:t>Represents revenue from the Chinese Mainland. Prior period segment results from the Chinese Mainland have been recast to conform to the current period presentation. Please refer to the “Selected Segment Information” tables at the end of this release for a breakdown by segment for the periods presented.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Please refer to the “Selected Segment Information” tables at the end of this release for reconciliation between Operating Segment Profit/(Loss) and GAAP operating profit.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Please refer to the “Selected Segment Information” tables at the end of this release for reconciliation between GAAP operating profit and Non-GAAP adjusted EBITDA.</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Overseas Markets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registered users reached 61.4 million as of June 30, 2026, an increase of 43.5% compared with June 30,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borrowers reached 15.6 million as of June 30, 2026, an increase of 79.3% compared with June 30,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unique borrowers</w:t>
            </w: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for the second quarter of 2026 was 5.3 million, an increase of 130.4% compared with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new borrowers</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for the second quarter of 2026 was 2.2 million, an increase of 100.0% compared with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volume</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reached RMB3.8 billion for the second quarter of 2026, an increase of 18.8% compared with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loan balance</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reached RMB2.5 billion as of June 30, 2026, an increase of 19.0% compared with June 30,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w:t>
            </w:r>
            <w:r>
              <w:rPr>
                <w:rFonts w:ascii="Times New Roman;Times;Serif" w:hAnsi="Times New Roman;Times;Serif"/>
                <w:b w:val="false"/>
                <w:i w:val="false"/>
                <w:caps w:val="false"/>
                <w:smallCaps w:val="false"/>
                <w:position w:val="7"/>
                <w:sz w:val="16"/>
                <w:sz w:val="20"/>
              </w:rPr>
              <w:t xml:space="preserve">14 </w:t>
            </w:r>
            <w:r>
              <w:rPr>
                <w:rFonts w:ascii="Times New Roman;Times;Serif" w:hAnsi="Times New Roman;Times;Serif"/>
                <w:b w:val="false"/>
                <w:i w:val="false"/>
                <w:caps w:val="false"/>
                <w:smallCaps w:val="false"/>
                <w:sz w:val="20"/>
              </w:rPr>
              <w:t>was RMB930.3 million (US$137.1 million) for the second quarter of 2026, an increase of 18.0% compared with the same period of 2025, representing 27.3% of total revenue for the second quarter of 2026.</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operating profit</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was RMB53.6 million (US$7.9 million) for the second quarter of 2026, compared with RMB25.6 million for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adjusted EBITDA</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which excludes depreciation and amortization and share-based compensation expenses from operating profit, was RMB55.3 million (US$8.1 million) for the second quarter of 2026, compared with RMB26.6 million for the same period of 2025.</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 Financial Highlights</w:t>
      </w:r>
    </w:p>
    <w:p>
      <w:pPr>
        <w:pStyle w:val="TextBody"/>
        <w:bidi w:val="0"/>
        <w:spacing w:before="0" w:after="0"/>
        <w:ind w:left="357"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was RMB3,403.2 million (US$501.6 million) for the second quarter of 2026, compared with RMB3,578.0 million for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 was RMB426.8 million (US$62.9 million) for the second quarter of 2026, compared with RMB751.3 million for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operating profit was RMB529.2 million (US$78.0 million) for the second quarter of 2026, compared with RMB815.5 million for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adjusted operating profit</w:t>
            </w: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which excludes share-based compensation expenses before tax, was RMB572.1 million (US$84.3 million) for the second quarter of 2026, compared with RMB854.8 million for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profit per American depositary share (“ADS”) was RMB1.80 (US$0.26) and diluted net profit per share was RMB0.36 (US$0.05) for the second quarter of 2026, compared with RMB2.82 and RMB0.56 for the same period of 2025, respectively.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diluted net profit per ADS was RMB1.97 (US$0.29) and non-GAAP diluted net profit per share was RMB0.39 (US$0.06) for the second quarter of 2026, compared with RMB2.97 and RMB0.59 for the same period of 2025, respectively. Each ADS of the Company represents five Class A ordinary shares of the Company.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Represents the total number of borrowers in Indonesia, the Philippines and Australia who successfully borrowed on the Company’s platforms during the period presented.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Represents the total number of new borrowers in Indonesia, the Philippines and Australia whose transactions were facilitated on the Company’s platforms during the period presented.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14 </w:t>
      </w:r>
      <w:r>
        <w:rPr>
          <w:rFonts w:ascii="Times New Roman;Times;Serif" w:hAnsi="Times New Roman;Times;Serif"/>
          <w:b w:val="false"/>
          <w:i w:val="false"/>
          <w:caps w:val="false"/>
          <w:smallCaps w:val="false"/>
          <w:sz w:val="20"/>
        </w:rPr>
        <w:t>Represents revenue from overseas markets outside the Chinese Mainland, namely Indonesia, the Philippines, and Australia. Prior period segment results from overseas markets have been recast to conform to the current period presentation. Please refer to “Selected Segment Information” for a breakdown by segment for the periods presented.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Please refer to “UNAUDITED Reconciliation of GAAP and Non-GAAP Results” for reconciliation between GAAP and Non-GAAP adjusted operating profit.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The Company has reclassified certain items within its consolidated balance sheets for the first quarter of 2026, including amounts between Loans receivable and Accounts receivable. These balance sheet reclassifications also resulted in corresponding changes in the presentation of certain items in the consolidated statements of cash flows under the indirect method. The impact of these reclassifications has been reflected in the consolidated statements of cash flows 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Tiezheng Li, Vice Chairman and Chief Executive Officer of FinVolution, commented, “Our second quarter results reflect a growing recovery following the risk mitigation actions we took in the second half of last year, with transaction volume, net revenue, and net profit all up sequentially. Both our Chinese Mainland and Overseas segments delivered resilient performances against an evolving regulatory and macro backdrop across several of our markets, reinforcing the value of our two-engine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Asset quality in the Chinese Mainland segment remained solid, supported by the healthier borrower mix we captured during this year’s industry consolidation. Meanwhile, the Overseas segment continued to gain traction under our ‘Local Excellence, Global Outlook+’ strategy. Our unique borrower base more than doubled to 5.3 million, driving continued overall profitability across our international footprint, underscoring the growing earnings power of our diversified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we enter the third quarter, we are navigating industry headwinds as institutional funding in China tightens at the moment coupled with an evolving risk environment. We intend to stay disciplined on origination rather than chase high-risk volume. Our dual-engine profitability, technology edge and healthy, low-leverage balance sheet give us the flexibility to manage this period while continuing to build long-term value for customers and shareholders,” concluded Mr. Li.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Jiayuan Xu, Chief Financial Officer of FinVolution, continued, “Total net revenues were RMB3.4 billion for the second quarter, up 6% sequentially, and net profit was RMB426.8 million, up 1% sequentially. The Chinese Mainland segment contributed RMB2.4 billion in revenue, up 8% sequentially. Overseas segment revenue was RMB930.3 million, up 18% year over year. Overseas operating profit more than doubled to RMB53.6 million, demonstrating sustained profitability across our international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balance sheet remains robust, with RMB6.4 billion in cash and short-term investments, while our leverage ratio stands at 2.1x, around historic lows. We repurchased US$27.4 million in shares during the quarter, bringing our first-half 2026 total to US$66.8 million. Despite anticipated industry headwinds in the third quarter, we are maintaining our full-year revenue outlook of RMB11.5 billion to RMB12.9 billion. We remain committed to disciplined execution and to delivering sustainable, long-term value for our shareholders,” concluded Mr. Xu.</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w:t>
      </w:r>
      <w:r>
        <w:rPr>
          <w:rFonts w:ascii="Times New Roman;Times;Serif" w:hAnsi="Times New Roman;Times;Serif"/>
          <w:b w:val="false"/>
          <w:i w:val="false"/>
          <w:caps w:val="false"/>
          <w:smallCaps w:val="false"/>
          <w:sz w:val="20"/>
        </w:rPr>
        <w:t xml:space="preserve"> for the second quarter of 2026 was RMB3,403.2 million (US$501.6 million), compared with RMB3,578.0 million for the same period of 2025. This decrease was primarily due to decreases in loan facilitation service fees, post-facilitation service fees and guarantee income, partially offset by increases in net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Loan facilitation service fees</w:t>
      </w:r>
      <w:r>
        <w:rPr>
          <w:rFonts w:ascii="Times New Roman;Times;Serif" w:hAnsi="Times New Roman;Times;Serif"/>
          <w:b w:val="false"/>
          <w:i w:val="false"/>
          <w:caps w:val="false"/>
          <w:smallCaps w:val="false"/>
          <w:sz w:val="20"/>
        </w:rPr>
        <w:t xml:space="preserve"> were RMB1,313.8 million (US$193.6 million) for the second quarter of 2026, compared with RMB1,515.3 million for the same period of 2025. The decrease was primarily due to decreases in transaction volume in the Chinese Mainland market, partially offset by the increase in transaction volume in overseas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Post-facilitation service fees</w:t>
      </w:r>
      <w:r>
        <w:rPr>
          <w:rFonts w:ascii="Times New Roman;Times;Serif" w:hAnsi="Times New Roman;Times;Serif"/>
          <w:b w:val="false"/>
          <w:i w:val="false"/>
          <w:caps w:val="false"/>
          <w:smallCaps w:val="false"/>
          <w:sz w:val="20"/>
        </w:rPr>
        <w:t xml:space="preserve"> were RMB386.0 million (US$56.9 million) for the second quarter of 2026, compared with RMB425.6 million for the same period of 2025. This decrease was primarily due to the rolling impact of deferred transaction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Guarantee income</w:t>
      </w:r>
      <w:r>
        <w:rPr>
          <w:rFonts w:ascii="Times New Roman;Times;Serif" w:hAnsi="Times New Roman;Times;Serif"/>
          <w:b w:val="false"/>
          <w:i w:val="false"/>
          <w:caps w:val="false"/>
          <w:smallCaps w:val="false"/>
          <w:sz w:val="20"/>
        </w:rPr>
        <w:t xml:space="preserve"> was RMB904.5 million (US$133.3 million) for the second quarter of 2026, compared with RMB1,046.6 million for the same period of 2025. This decrease was primarily due to the decrease in risk-bearing loans in the Chinese Mainland market, as well as the rolling impact of deferred guarantee income. The fair value of quality assurance commitment upon loan origination is released as guarantee income systematically over the term of the loans subject to quality assurance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interest income</w:t>
      </w:r>
      <w:r>
        <w:rPr>
          <w:rFonts w:ascii="Times New Roman;Times;Serif" w:hAnsi="Times New Roman;Times;Serif"/>
          <w:b w:val="false"/>
          <w:i w:val="false"/>
          <w:caps w:val="false"/>
          <w:smallCaps w:val="false"/>
          <w:sz w:val="20"/>
        </w:rPr>
        <w:t xml:space="preserve"> was RMB474.3 million (US$69.9 million) for the second quarter of 2026, compared with RMB272.1 million for the same period of 2025. This increase mainly resulted from the increase in the average outstanding loan balances of on-balance sheet loans in both the Chinese Mainland and overseas markets, partially offset by the decrease in interest yield in the Chinese Mainland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revenue</w:t>
      </w:r>
      <w:r>
        <w:rPr>
          <w:rFonts w:ascii="Times New Roman;Times;Serif" w:hAnsi="Times New Roman;Times;Serif"/>
          <w:b w:val="false"/>
          <w:i w:val="false"/>
          <w:caps w:val="false"/>
          <w:smallCaps w:val="false"/>
          <w:sz w:val="20"/>
        </w:rPr>
        <w:t xml:space="preserve"> was RMB324.6 million (US$47.8 million) for the second quarter of 2026, compared with RMB318.3 million for the same period of 2025. This increase was primarily due to the increase in the contributions from other revenue streams, including other value-added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Origination, servicing expenses and other costs of revenue</w:t>
      </w:r>
      <w:r>
        <w:rPr>
          <w:rFonts w:ascii="Times New Roman;Times;Serif" w:hAnsi="Times New Roman;Times;Serif"/>
          <w:b w:val="false"/>
          <w:i w:val="false"/>
          <w:caps w:val="false"/>
          <w:smallCaps w:val="false"/>
          <w:sz w:val="20"/>
        </w:rPr>
        <w:t xml:space="preserve"> were RMB732.9 million (US$108.0 million) for the second quarter of 2026, compared with RMB674.5 million for the same period of 2025. This increase was primarily driven by the increase in employee expenditures in both the Chinese Mainland and overseas markets, partially offset by the decrease in loan collection expenses in the Chinese Mainland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Sales and marketing expenses</w:t>
      </w:r>
      <w:r>
        <w:rPr>
          <w:rFonts w:ascii="Times New Roman;Times;Serif" w:hAnsi="Times New Roman;Times;Serif"/>
          <w:b w:val="false"/>
          <w:i w:val="false"/>
          <w:caps w:val="false"/>
          <w:smallCaps w:val="false"/>
          <w:sz w:val="20"/>
        </w:rPr>
        <w:t xml:space="preserve"> were RMB480.9 million (US$70.9 million) for the second quarter of 2026, compared with RMB606.4 million for the same period of 2025. This decrease was primarily due to improved efficiency and decreased investment in marketing activities in the Chinese Mainland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Research and development expenses</w:t>
      </w:r>
      <w:r>
        <w:rPr>
          <w:rFonts w:ascii="Times New Roman;Times;Serif" w:hAnsi="Times New Roman;Times;Serif"/>
          <w:b w:val="false"/>
          <w:i w:val="false"/>
          <w:caps w:val="false"/>
          <w:smallCaps w:val="false"/>
          <w:sz w:val="20"/>
        </w:rPr>
        <w:t xml:space="preserve"> were RMB118.9 million (US$17.5 million) for the second quarter of 2026, compared with RMB129.0 million for the same period of 2025. This decrease was primarily due to efficiency improvements in technology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and administrative expenses</w:t>
      </w:r>
      <w:r>
        <w:rPr>
          <w:rFonts w:ascii="Times New Roman;Times;Serif" w:hAnsi="Times New Roman;Times;Serif"/>
          <w:b w:val="false"/>
          <w:i w:val="false"/>
          <w:caps w:val="false"/>
          <w:smallCaps w:val="false"/>
          <w:sz w:val="20"/>
        </w:rPr>
        <w:t xml:space="preserve"> were RMB106.3 million (US$15.7 million) for the second quarter of 2026, compared with RMB110.2 million for the same period of 2025. This decrease was primarily due to a decrease in professional services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Provision for accounts receivable and contract assets</w:t>
      </w:r>
      <w:r>
        <w:rPr>
          <w:rFonts w:ascii="Times New Roman;Times;Serif" w:hAnsi="Times New Roman;Times;Serif"/>
          <w:b w:val="false"/>
          <w:i w:val="false"/>
          <w:caps w:val="false"/>
          <w:smallCaps w:val="false"/>
          <w:sz w:val="20"/>
        </w:rPr>
        <w:t xml:space="preserve"> was RMB97.9 million (US$14.4 million) for the second quarter of 2026, compared with RMB106.3 million for the same period of 2025. The decrease was primarily due to decreased transaction volume of off-balance sheet loans in the Chinese Mainland.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Provision for loans receivable</w:t>
      </w:r>
      <w:r>
        <w:rPr>
          <w:rFonts w:ascii="Times New Roman;Times;Serif" w:hAnsi="Times New Roman;Times;Serif"/>
          <w:b w:val="false"/>
          <w:i w:val="false"/>
          <w:caps w:val="false"/>
          <w:smallCaps w:val="false"/>
          <w:sz w:val="20"/>
        </w:rPr>
        <w:t xml:space="preserve"> was RMB164.4 million (US$24.2 million) for the second quarter of 2026, compared with RMB98.4 million for the same period of 2025. This increase was primarily due to the increase in the outstanding loan balance of on-balance sheet loans in the Chinese Mainland and overseas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Credit losses for quality assurance commitment</w:t>
      </w:r>
      <w:r>
        <w:rPr>
          <w:rFonts w:ascii="Times New Roman;Times;Serif" w:hAnsi="Times New Roman;Times;Serif"/>
          <w:b w:val="false"/>
          <w:i w:val="false"/>
          <w:caps w:val="false"/>
          <w:smallCaps w:val="false"/>
          <w:sz w:val="20"/>
        </w:rPr>
        <w:t xml:space="preserve"> were RMB1,108.8 million (US$163.4 million) for the second quarter of 2026, compared with RMB987.1 million for the same period of 2025. The increase was primarily due to the increase in risk-bearing loans in the overseas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Impairment of goodwill and intangible assets </w:t>
      </w:r>
      <w:r>
        <w:rPr>
          <w:rFonts w:ascii="Times New Roman;Times;Serif" w:hAnsi="Times New Roman;Times;Serif"/>
          <w:b w:val="false"/>
          <w:i w:val="false"/>
          <w:caps w:val="false"/>
          <w:smallCaps w:val="false"/>
          <w:sz w:val="20"/>
        </w:rPr>
        <w:t>was RMB63.8 million (US$9.4 million) for the second quarter of 2026, compared with RMB50.4 million for the same period of 2025. The impairment of intangible assets in 2026 was primarily due to an impairment of micro-lending licenses related to a certain micro-lending company acquired by the Group in 2017, following a performance review during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profit</w:t>
      </w:r>
      <w:r>
        <w:rPr>
          <w:rFonts w:ascii="Times New Roman;Times;Serif" w:hAnsi="Times New Roman;Times;Serif"/>
          <w:b w:val="false"/>
          <w:i w:val="false"/>
          <w:caps w:val="false"/>
          <w:smallCaps w:val="false"/>
          <w:sz w:val="20"/>
        </w:rPr>
        <w:t xml:space="preserve"> was RMB529.2 million (US$78.0 million) for the second quarter of 2026, compared with RMB815.5 million for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adjusted operating profit</w:t>
      </w:r>
      <w:r>
        <w:rPr>
          <w:rFonts w:ascii="Times New Roman;Times;Serif" w:hAnsi="Times New Roman;Times;Serif"/>
          <w:b w:val="false"/>
          <w:i w:val="false"/>
          <w:caps w:val="false"/>
          <w:smallCaps w:val="false"/>
          <w:sz w:val="20"/>
        </w:rPr>
        <w:t>, which excludes share-based compensation expenses before tax, was RMB572.1 million (US$84.3 million) for the second quarter of 2026, compared with RMB854.8 million for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income</w:t>
      </w:r>
      <w:r>
        <w:rPr>
          <w:rFonts w:ascii="Times New Roman;Times;Serif" w:hAnsi="Times New Roman;Times;Serif"/>
          <w:b w:val="false"/>
          <w:i w:val="false"/>
          <w:caps w:val="false"/>
          <w:smallCaps w:val="false"/>
          <w:sz w:val="20"/>
        </w:rPr>
        <w:t xml:space="preserve"> was RMB33.9 million (US$5.0 million) for the second quarter of 2026, compared with RMB115.9 million for the same period of 2025. The decrease was mainly due to an increase in foreign exchange losses and a decrease in government subsidies.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Income tax expense </w:t>
      </w:r>
      <w:r>
        <w:rPr>
          <w:rFonts w:ascii="Times New Roman;Times;Serif" w:hAnsi="Times New Roman;Times;Serif"/>
          <w:b w:val="false"/>
          <w:i w:val="false"/>
          <w:caps w:val="false"/>
          <w:smallCaps w:val="false"/>
          <w:sz w:val="20"/>
        </w:rPr>
        <w:t>was RMB116.4 million (US$17.1 million) for the second quarter of 2026, compared with RMB178.7 million for the same period of 2025. This decrease was mainly due to the decrease in pre-tax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profit</w:t>
      </w:r>
      <w:r>
        <w:rPr>
          <w:rFonts w:ascii="Times New Roman;Times;Serif" w:hAnsi="Times New Roman;Times;Serif"/>
          <w:b w:val="false"/>
          <w:i w:val="false"/>
          <w:caps w:val="false"/>
          <w:smallCaps w:val="false"/>
          <w:sz w:val="20"/>
        </w:rPr>
        <w:t xml:space="preserve"> was RMB426.8 million (US$62.9 million) for the second quarter of 2026, compared with RMB751.3 million for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profit attributable to ordinary shareholders of the Company</w:t>
      </w:r>
      <w:r>
        <w:rPr>
          <w:rFonts w:ascii="Times New Roman;Times;Serif" w:hAnsi="Times New Roman;Times;Serif"/>
          <w:b w:val="false"/>
          <w:i w:val="false"/>
          <w:caps w:val="false"/>
          <w:smallCaps w:val="false"/>
          <w:sz w:val="20"/>
        </w:rPr>
        <w:t xml:space="preserve"> was RMB441.6 million (US$65.1 million) for the second quarter of 2026, compared with RMB747.0 million for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Diluted net profit per ADS</w:t>
      </w:r>
      <w:r>
        <w:rPr>
          <w:rFonts w:ascii="Times New Roman;Times;Serif" w:hAnsi="Times New Roman;Times;Serif"/>
          <w:b w:val="false"/>
          <w:i w:val="false"/>
          <w:caps w:val="false"/>
          <w:smallCaps w:val="false"/>
          <w:sz w:val="20"/>
        </w:rPr>
        <w:t xml:space="preserve"> was RMB1.80 (US$0.26) and </w:t>
      </w:r>
      <w:r>
        <w:rPr>
          <w:rFonts w:ascii="Times New Roman;Times;Serif" w:hAnsi="Times New Roman;Times;Serif"/>
          <w:b/>
          <w:i w:val="false"/>
          <w:caps w:val="false"/>
          <w:smallCaps w:val="false"/>
          <w:sz w:val="20"/>
        </w:rPr>
        <w:t>diluted net profit per share</w:t>
      </w:r>
      <w:r>
        <w:rPr>
          <w:rFonts w:ascii="Times New Roman;Times;Serif" w:hAnsi="Times New Roman;Times;Serif"/>
          <w:b w:val="false"/>
          <w:i w:val="false"/>
          <w:caps w:val="false"/>
          <w:smallCaps w:val="false"/>
          <w:sz w:val="20"/>
        </w:rPr>
        <w:t xml:space="preserve"> was RMB0.36 (US$0.05) for the second quarter of 2026, compared with RMB2.82 and RMB0.56 for the same period of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diluted net profit per ADS</w:t>
      </w:r>
      <w:r>
        <w:rPr>
          <w:rFonts w:ascii="Times New Roman;Times;Serif" w:hAnsi="Times New Roman;Times;Serif"/>
          <w:b w:val="false"/>
          <w:i w:val="false"/>
          <w:caps w:val="false"/>
          <w:smallCaps w:val="false"/>
          <w:sz w:val="20"/>
        </w:rPr>
        <w:t xml:space="preserve"> was RMB1.97 (US$0.29) and </w:t>
      </w:r>
      <w:r>
        <w:rPr>
          <w:rFonts w:ascii="Times New Roman;Times;Serif" w:hAnsi="Times New Roman;Times;Serif"/>
          <w:b/>
          <w:i w:val="false"/>
          <w:caps w:val="false"/>
          <w:smallCaps w:val="false"/>
          <w:sz w:val="20"/>
        </w:rPr>
        <w:t>non-GAAP diluted net profit per share</w:t>
      </w:r>
      <w:r>
        <w:rPr>
          <w:rFonts w:ascii="Times New Roman;Times;Serif" w:hAnsi="Times New Roman;Times;Serif"/>
          <w:b w:val="false"/>
          <w:i w:val="false"/>
          <w:caps w:val="false"/>
          <w:smallCaps w:val="false"/>
          <w:sz w:val="20"/>
        </w:rPr>
        <w:t xml:space="preserve"> was RMB0.39 (US$0.06) for the second quarter of 2026, compared with RMB2.97 and RMB0.59 for the same period of 2025, respectively. Each ADS represents five Class A ordinary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RMB3,259.4 million (US$480.4 million) and short-term investments, mainly in wealth management products and term deposits, of RMB3,162.0 million (US$466.0 million).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shows the historical cumulative 30-day plus past due delinquency rates by loan origination vintage for loan products facilitated through the Company’s platform in the Chinese Mainland as of June 30, 2026. Loans facilitated under the capital-light model, for which the Company does not bear principal risk, are excluded from the chart.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00800" cy="62179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00800" cy="621792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Repurchase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second quarter of 2026, the Company deployed approximately US$27.4 million to repurchase its own Class A ordinary shares in the form of ADSs. As of June 30, 2026, in combination with the Company’s historical and existing share repurchase programs, the Company had cumulatively repurchased its own Class A ordinary shares in the form of ADSs with a total aggregate value of approximately US$544.1 million since 2018.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to the third quarter, we anticipate a considerable contraction in transaction volume in China, reflecting industry headwinds as institutional funding to the industry tightens at the moment. Despite this near-term impact, underpinned by the strength of our two-engine model and disciplined execution, we reiterate the Company’s full-year 2026 total revenue guidance to be in the range of approximately RMB11.5 billion to RMB12.9 billion.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forecast is based on the current market conditions and reflects the Company’s current preliminary views and expectations on market and operational conditions and the regulatory and operating environment, as well as customers’ and institutional partners’ demands, all of which are subject to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host an earnings conference call at 8:30 PM U.S. Eastern Time on August 27, 2026 (8:30 AM Beijing/Hong Kong Time on August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should complete online registration using the link provided below at least 15 minutes before the scheduled start time. Upon registration, participants will receive the conference call access information, including dial-in numbers, a personal PIN and an e-mail with detailed instructions to join the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Online Registration: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https://register-conf.media-server.com/register/BI0f0012327500446398832920fa161c5b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 live and archived webcast of the conference call will be available on the Company’s investor relations website at </w:t>
      </w:r>
      <w:r>
        <w:rPr>
          <w:rFonts w:ascii="Times New Roman;Times;Serif" w:hAnsi="Times New Roman;Times;Serif"/>
          <w:b w:val="false"/>
          <w:i w:val="false"/>
          <w:caps w:val="false"/>
          <w:smallCaps w:val="false"/>
          <w:sz w:val="20"/>
          <w:u w:val="single"/>
        </w:rPr>
        <w:t>https://ir.finvgroup.com</w:t>
      </w:r>
      <w:r>
        <w:rPr>
          <w:rFonts w:ascii="Times New Roman;Times;Serif" w:hAnsi="Times New Roman;Times;Serif"/>
          <w:b w:val="false"/>
          <w:i w:val="false"/>
          <w:caps w:val="false"/>
          <w:smallCaps w:val="false"/>
          <w:sz w:val="20"/>
        </w:rPr>
        <w:t>.</w:t>
      </w:r>
    </w:p>
    <w:p>
      <w:pPr>
        <w:pStyle w:val="TextBody"/>
        <w:bidi w:val="0"/>
        <w:spacing w:before="0" w:after="0"/>
        <w:ind w:left="116" w:right="0" w:hanging="116"/>
        <w:jc w:val="left"/>
        <w:rPr>
          <w:caps w:val="false"/>
          <w:smallCaps w:val="false"/>
        </w:rPr>
      </w:pPr>
      <w:r>
        <w:rPr>
          <w:caps w:val="false"/>
          <w:smallCaps w:val="false"/>
        </w:rPr>
        <w:t> </w:t>
      </w:r>
    </w:p>
    <w:p>
      <w:pPr>
        <w:pStyle w:val="TextBody"/>
        <w:bidi w:val="0"/>
        <w:spacing w:before="0" w:after="0"/>
        <w:ind w:left="116" w:right="0" w:hanging="11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FinVolution Group</w:t>
      </w:r>
    </w:p>
    <w:p>
      <w:pPr>
        <w:pStyle w:val="TextBody"/>
        <w:bidi w:val="0"/>
        <w:spacing w:before="0" w:after="0"/>
        <w:ind w:left="116" w:right="0" w:hanging="11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 is a leading fintech platform with strong brand recognition across China and overseas markets, connecting borrowers of the young generation with financial institutions. Established in 2007, the Company is a pioneer in China’s online consumer finance industry and has developed innovative technologies and accumulated in-depth experience in the core areas of credit risk assessment, fraud detection, big data and artificial intelligence. The Company’s platform, empowered by proprietary cutting-edge technologies, features a highly automated loan transaction process, which enables a superior user experience. As of June 30, 2026, the Company had 254.2 million cumulative registered users across China and overseas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https://ir.finvgroup.com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6" w:right="0" w:hanging="11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non-GAAP adjusted operating profit, non-GAAP operating margin, non-GAAP adjusted EBITDA, non-GAAP net profit, non-GAAP net profit attributable to FinVolution Group, and non-GAAP basic and diluted net profit per share and per ADS which are non-GAAP financial measures, in evaluating our operating results and for financial and operational decision-making purposes. We believe that these non-GAAP financial measures help identify underlying trends in our business by excluding the impact of share-based compensation expenses and expected discretionary measures. We believe that non-GAAP financial measures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adjusted operating profit, non-GAAP operating margin, non-GAAP adjusted EBITDA, non-GAAP net profit, non-GAAP net profit attributable to FinVolution Group, and non-GAAP basic and diluted net profit per share and per ADS are not defined under U.S. GAAP and are not presented in accordance with U.S. GAAP. These non-GAAP financial measures have limitations as analytical tool, and when assessing our operating performance, cash flows or our liquidity, investors should not consider it in isolation, or as a substitute for net income, cash flows provided by operating activities or other consolidated statements of operation and cash flow data prepared in accordance with U.S. GAAP. The Company encourages investors and others to review our financial information in its entirety and not rely on a single financial measure.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this non-GAAP financial measure, please see the table captioned “Reconciliations of GAAP and Non-GAAP results” set forth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RMB amounts into U.S. dollars at a specified rate solely for the convenience of the reader. Unless otherwise noted, all translations from RMB to U.S. dollars are made at a rate of RMB6.7851 to US$1.00, the rate in effect as of June 30, 2026 as certified for customs purposes by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“target,”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risks, uncertainties and other factors that could cause actual results to differ materially from those contained in any such statements. Potential risks and uncertainties include, but are not limited to, uncertainties as to the Company’s ability to attract and retain borrowers and investors on its marketplace, its ability to increase volume of loans facilitated through the Company’s marketplace, its ability to introduce new loan products and platform enhancements, its ability to compete effectively, laws, regulations and governmental policies relating to the online consumer finance industry in China, general economic conditions in China, and the Company’s ability to meet the standards necessary to maintain listing of its ADSs on the NYSE, including its ability to cure any non-compliance with the NYSE’s continued listing criteria. Further information regarding these and other risks, uncertainties or factors is included in the Company’s filings with the U.S. Securities and Exchange Commission. All information provided in this press release is as of the date of this press release, and FinVolution does not undertake any obligation to update any forward-looking statement as a result of new information, future events or otherwise,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 Capital Markets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Yam Cheng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 8030-3200 Ext. 8601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ir@xinye.com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Jenny Cai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(10) 6508-0677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finv@tpg-ir.com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Brandi Piacente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+1-212-481-2050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finv@tpg-ir.com</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49"/>
        <w:gridCol w:w="60"/>
        <w:gridCol w:w="71"/>
        <w:gridCol w:w="1304"/>
        <w:gridCol w:w="95"/>
        <w:gridCol w:w="60"/>
        <w:gridCol w:w="60"/>
        <w:gridCol w:w="1100"/>
        <w:gridCol w:w="95"/>
        <w:gridCol w:w="60"/>
        <w:gridCol w:w="60"/>
        <w:gridCol w:w="980"/>
        <w:gridCol w:w="111"/>
      </w:tblGrid>
      <w:tr>
        <w:trPr/>
        <w:tc>
          <w:tcPr>
            <w:tcW w:w="61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June 30,</w:t>
            </w:r>
          </w:p>
        </w:tc>
        <w:tc>
          <w:tcPr>
            <w:tcW w:w="111" w:type="dxa"/>
            <w:tcBorders/>
            <w:vAlign w:val="center"/>
          </w:tcPr>
          <w:p>
            <w:pPr>
              <w:pStyle w:val="TableContents"/>
              <w:bidi w:val="0"/>
              <w:spacing w:before="0" w:after="283"/>
              <w:jc w:val="left"/>
              <w:rPr/>
            </w:pPr>
            <w:r>
              <w:rPr/>
              <w:t> </w:t>
            </w:r>
          </w:p>
        </w:tc>
      </w:tr>
      <w:tr>
        <w:trPr/>
        <w:tc>
          <w:tcPr>
            <w:tcW w:w="61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1" w:type="dxa"/>
            <w:tcBorders/>
            <w:vAlign w:val="center"/>
          </w:tcPr>
          <w:p>
            <w:pPr>
              <w:pStyle w:val="TableContents"/>
              <w:bidi w:val="0"/>
              <w:spacing w:before="0" w:after="283"/>
              <w:jc w:val="left"/>
              <w:rPr/>
            </w:pPr>
            <w:r>
              <w:rPr/>
              <w:t> </w:t>
            </w:r>
          </w:p>
        </w:tc>
      </w:tr>
      <w:tr>
        <w:trPr/>
        <w:tc>
          <w:tcPr>
            <w:tcW w:w="61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111" w:type="dxa"/>
            <w:tcBorders/>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4,285,121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3,259,378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480,373</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1,912,850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1,631,542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240,460</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3,015,226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3,161,992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466,020</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Investments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1,141,816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1,164,822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171,674</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Quality assurance receivable, net of credit loss allowance for quality assurance receivable of RMB581,475 and RMB666,160 as of December 31, 2025 and June 30, 2026, respectively</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1,315,184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1,421,677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209,529</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270,246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206,483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30,432</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Property, equipment and software, net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641,316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620,700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91,480</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Loans receivable, net of credit loss allowance for loans receivable of RMB544,905 and RMB416,552 as of December 31, 2025 and June 30, 2026, respectively</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6,471,619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6,597,360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972,331</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Accounts receivable and contract assets, net of credit loss allowance for accounts receivable and contract assets of RMB340,816 and RMB286,557 as of December 31, 2025 and June 30, 2026, respectively</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2,028,585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2,895,985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426,815</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2,992,071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3,504,367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516,480</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Right of use assets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52,020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6,632</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1,207,791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1,484,090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218,728</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79,759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79,759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11,755</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pPr>
            <w:r>
              <w:rPr/>
              <w:t>25,413,604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26,073,155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3,842,709</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Deferred guarantee income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1,119,004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1,256,324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185,159</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Liability from quality assurance commitment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2,574,842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2,684,907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395,706</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Payroll and welfare payable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361,188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244,077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35,972</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177,064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477,073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70,312</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Short-term borrowings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170,408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387,456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57,104</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Funds payable to investors of consolidated trusts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778,531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739,575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109,000</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Contract liability</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786,556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736,814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108,593</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1,448,231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1,619,544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238,692</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Leasing liabilities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44,711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5,904</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Convertible senior notes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1,019,266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991,199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146,085</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Long-term borrowings</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CCEEFF" w:val="clear"/>
            <w:tcMar>
              <w:bottom w:w="28" w:type="dxa"/>
            </w:tcMar>
            <w:vAlign w:val="center"/>
          </w:tcPr>
          <w:p>
            <w:pPr>
              <w:pStyle w:val="TableContents"/>
              <w:bidi w:val="0"/>
              <w:spacing w:before="0" w:after="283"/>
              <w:jc w:val="right"/>
              <w:rPr/>
            </w:pPr>
            <w:r>
              <w:rPr/>
              <w:t>89,590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155,789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22,960</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8,569,617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9,332,819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1,375,487</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b/>
              </w:rPr>
            </w:pPr>
            <w:r>
              <w:rPr>
                <w:b/>
              </w:rPr>
              <w:t>FinVolution Group Shareholders’ equity</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Ordinary shares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5,908,586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5,986,830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882,350</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Treasury stock</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(2,465,259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(2,831,861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(417,365</w:t>
            </w:r>
          </w:p>
        </w:tc>
        <w:tc>
          <w:tcPr>
            <w:tcW w:w="111" w:type="dxa"/>
            <w:tcBorders/>
            <w:shd w:fill="CCEEFF" w:val="clear"/>
            <w:vAlign w:val="center"/>
          </w:tcPr>
          <w:p>
            <w:pPr>
              <w:pStyle w:val="TableContents"/>
              <w:bidi w:val="0"/>
              <w:spacing w:before="0" w:after="283"/>
              <w:ind w:left="0" w:right="0" w:hanging="0"/>
              <w:jc w:val="left"/>
              <w:rPr/>
            </w:pPr>
            <w:r>
              <w:rPr/>
              <w:t>)</w:t>
            </w:r>
          </w:p>
        </w:tc>
      </w:tr>
      <w:tr>
        <w:trPr/>
        <w:tc>
          <w:tcPr>
            <w:tcW w:w="6149" w:type="dxa"/>
            <w:tcBorders/>
            <w:shd w:fill="FFFFFF" w:val="clear"/>
            <w:vAlign w:val="center"/>
          </w:tcPr>
          <w:p>
            <w:pPr>
              <w:pStyle w:val="TableContents"/>
              <w:bidi w:val="0"/>
              <w:spacing w:before="0" w:after="283"/>
              <w:jc w:val="left"/>
              <w:rPr/>
            </w:pPr>
            <w:r>
              <w:rPr/>
              <w:t>Statutory reserves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1,042,312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1,042,312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153,618</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13,027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4,846</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12,051,332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12,401,237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1,827,716</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b/>
              </w:rPr>
            </w:pPr>
            <w:r>
              <w:rPr>
                <w:b/>
              </w:rPr>
              <w:t>Total FinVolution Group shareholders’ equity</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CCEEFF" w:val="clear"/>
            <w:tcMar>
              <w:bottom w:w="28" w:type="dxa"/>
            </w:tcMar>
            <w:vAlign w:val="center"/>
          </w:tcPr>
          <w:p>
            <w:pPr>
              <w:pStyle w:val="TableContents"/>
              <w:bidi w:val="0"/>
              <w:spacing w:before="0" w:after="283"/>
              <w:jc w:val="right"/>
              <w:rPr/>
            </w:pPr>
            <w:r>
              <w:rPr/>
              <w:t>16,550,101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16,631,491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2,451,180</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293,886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108,845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16,042</w:t>
            </w:r>
          </w:p>
        </w:tc>
        <w:tc>
          <w:tcPr>
            <w:tcW w:w="111" w:type="dxa"/>
            <w:tcBorders/>
            <w:shd w:fill="FFFFFF" w:val="clear"/>
            <w:vAlign w:val="center"/>
          </w:tcPr>
          <w:p>
            <w:pPr>
              <w:pStyle w:val="TableContents"/>
              <w:bidi w:val="0"/>
              <w:spacing w:before="0" w:after="283"/>
              <w:ind w:left="0" w:right="0" w:hanging="0"/>
              <w:jc w:val="left"/>
              <w:rPr/>
            </w:pPr>
            <w:r>
              <w:rPr/>
              <w:t> </w:t>
            </w:r>
          </w:p>
        </w:tc>
      </w:tr>
      <w:tr>
        <w:trPr/>
        <w:tc>
          <w:tcPr>
            <w:tcW w:w="6149"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CCEEFF" w:val="clear"/>
            <w:tcMar>
              <w:bottom w:w="28" w:type="dxa"/>
            </w:tcMar>
            <w:vAlign w:val="center"/>
          </w:tcPr>
          <w:p>
            <w:pPr>
              <w:pStyle w:val="TableContents"/>
              <w:bidi w:val="0"/>
              <w:spacing w:before="0" w:after="283"/>
              <w:jc w:val="right"/>
              <w:rPr/>
            </w:pPr>
            <w:r>
              <w:rPr/>
              <w:t>16,843,987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16,740,336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2,467,222</w:t>
            </w:r>
          </w:p>
        </w:tc>
        <w:tc>
          <w:tcPr>
            <w:tcW w:w="111" w:type="dxa"/>
            <w:tcBorders/>
            <w:shd w:fill="CCEEFF" w:val="clear"/>
            <w:vAlign w:val="center"/>
          </w:tcPr>
          <w:p>
            <w:pPr>
              <w:pStyle w:val="TableContents"/>
              <w:bidi w:val="0"/>
              <w:spacing w:before="0" w:after="283"/>
              <w:ind w:left="0" w:right="0" w:hanging="0"/>
              <w:jc w:val="left"/>
              <w:rPr/>
            </w:pPr>
            <w:r>
              <w:rPr/>
              <w:t> </w:t>
            </w:r>
          </w:p>
        </w:tc>
      </w:tr>
      <w:tr>
        <w:trPr/>
        <w:tc>
          <w:tcPr>
            <w:tcW w:w="6149"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double" w:sz="6" w:space="0" w:color="000000"/>
            </w:tcBorders>
            <w:shd w:fill="FFFFFF" w:val="clear"/>
            <w:tcMar>
              <w:bottom w:w="28" w:type="dxa"/>
            </w:tcMar>
            <w:vAlign w:val="center"/>
          </w:tcPr>
          <w:p>
            <w:pPr>
              <w:pStyle w:val="TableContents"/>
              <w:bidi w:val="0"/>
              <w:spacing w:before="0" w:after="283"/>
              <w:jc w:val="right"/>
              <w:rPr/>
            </w:pPr>
            <w:r>
              <w:rPr/>
              <w:t>25,413,604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26,073,155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3,842,709</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STATEMENTS OF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1210" w:type="dxa"/>
        <w:jc w:val="left"/>
        <w:tblInd w:w="0" w:type="dxa"/>
        <w:tblLayout w:type="fixed"/>
        <w:tblCellMar>
          <w:top w:w="0" w:type="dxa"/>
          <w:left w:w="0" w:type="dxa"/>
          <w:bottom w:w="0" w:type="dxa"/>
          <w:right w:w="0" w:type="dxa"/>
        </w:tblCellMar>
      </w:tblPr>
      <w:tblGrid>
        <w:gridCol w:w="1505"/>
        <w:gridCol w:w="60"/>
        <w:gridCol w:w="60"/>
        <w:gridCol w:w="1400"/>
        <w:gridCol w:w="95"/>
        <w:gridCol w:w="60"/>
        <w:gridCol w:w="60"/>
        <w:gridCol w:w="1400"/>
        <w:gridCol w:w="95"/>
        <w:gridCol w:w="60"/>
        <w:gridCol w:w="60"/>
        <w:gridCol w:w="1400"/>
        <w:gridCol w:w="95"/>
        <w:gridCol w:w="60"/>
        <w:gridCol w:w="60"/>
        <w:gridCol w:w="1400"/>
        <w:gridCol w:w="95"/>
        <w:gridCol w:w="60"/>
        <w:gridCol w:w="60"/>
        <w:gridCol w:w="1400"/>
        <w:gridCol w:w="95"/>
        <w:gridCol w:w="60"/>
        <w:gridCol w:w="60"/>
        <w:gridCol w:w="1400"/>
        <w:gridCol w:w="110"/>
      </w:tblGrid>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0"/>
              <w:jc w:val="left"/>
              <w:rPr/>
            </w:pPr>
            <w:r>
              <w:rPr/>
              <w:t> </w:t>
            </w:r>
          </w:p>
        </w:tc>
      </w:tr>
      <w:tr>
        <w:trPr/>
        <w:tc>
          <w:tcPr>
            <w:tcW w:w="1505" w:type="dxa"/>
            <w:tcBorders/>
            <w:shd w:fill="CCEEFF" w:val="clear"/>
            <w:vAlign w:val="center"/>
          </w:tcPr>
          <w:p>
            <w:pPr>
              <w:pStyle w:val="TableContents"/>
              <w:bidi w:val="0"/>
              <w:spacing w:before="0" w:after="283"/>
              <w:jc w:val="left"/>
              <w:rPr>
                <w:b/>
              </w:rPr>
            </w:pPr>
            <w:r>
              <w:rPr>
                <w:b/>
              </w:rPr>
              <w:t>Operating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1505" w:type="dxa"/>
            <w:tcBorders/>
            <w:shd w:fill="FFFFFF" w:val="clear"/>
            <w:vAlign w:val="center"/>
          </w:tcPr>
          <w:p>
            <w:pPr>
              <w:pStyle w:val="TableContents"/>
              <w:bidi w:val="0"/>
              <w:spacing w:before="0" w:after="283"/>
              <w:jc w:val="left"/>
              <w:rPr/>
            </w:pPr>
            <w:r>
              <w:rPr/>
              <w:t>Loan facilitation service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1,515,349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1,313,757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193,624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2,993,147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2,495,071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367,728</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1505" w:type="dxa"/>
            <w:tcBorders/>
            <w:shd w:fill="CCEEFF" w:val="clear"/>
            <w:vAlign w:val="center"/>
          </w:tcPr>
          <w:p>
            <w:pPr>
              <w:pStyle w:val="TableContents"/>
              <w:bidi w:val="0"/>
              <w:spacing w:before="0" w:after="283"/>
              <w:jc w:val="left"/>
              <w:rPr/>
            </w:pPr>
            <w:r>
              <w:rPr/>
              <w:t>Post-facilitation service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425,595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385,994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56,888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806,209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734,337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108,228</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1505" w:type="dxa"/>
            <w:tcBorders/>
            <w:shd w:fill="FFFFFF" w:val="clear"/>
            <w:vAlign w:val="center"/>
          </w:tcPr>
          <w:p>
            <w:pPr>
              <w:pStyle w:val="TableContents"/>
              <w:bidi w:val="0"/>
              <w:spacing w:before="0" w:after="283"/>
              <w:jc w:val="left"/>
              <w:rPr/>
            </w:pPr>
            <w:r>
              <w:rPr/>
              <w:t>Guarantee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1,046,615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904,520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133,310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2,146,129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1,790,589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263,900</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1505" w:type="dxa"/>
            <w:tcBorders/>
            <w:shd w:fill="CCEEFF" w:val="clear"/>
            <w:vAlign w:val="center"/>
          </w:tcPr>
          <w:p>
            <w:pPr>
              <w:pStyle w:val="TableContents"/>
              <w:bidi w:val="0"/>
              <w:spacing w:before="0" w:after="283"/>
              <w:jc w:val="left"/>
              <w:rPr/>
            </w:pPr>
            <w:r>
              <w:rPr/>
              <w:t>Net 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272,098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474,296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69,903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513,712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958,977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141,336</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1505" w:type="dxa"/>
            <w:tcBorders/>
            <w:shd w:fill="FFFFFF" w:val="clear"/>
            <w:vAlign w:val="center"/>
          </w:tcPr>
          <w:p>
            <w:pPr>
              <w:pStyle w:val="TableContents"/>
              <w:bidi w:val="0"/>
              <w:spacing w:before="0" w:after="283"/>
              <w:jc w:val="left"/>
              <w:rPr/>
            </w:pPr>
            <w:r>
              <w:rPr/>
              <w:t>Other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318,294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324,602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47,840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599,795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634,257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93,478</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1505" w:type="dxa"/>
            <w:tcBorders/>
            <w:shd w:fill="CCEEFF" w:val="clear"/>
            <w:vAlign w:val="center"/>
          </w:tcPr>
          <w:p>
            <w:pPr>
              <w:pStyle w:val="TableContents"/>
              <w:bidi w:val="0"/>
              <w:spacing w:before="0" w:after="283"/>
              <w:jc w:val="left"/>
              <w:rPr>
                <w:b/>
              </w:rPr>
            </w:pPr>
            <w:r>
              <w:rPr>
                <w:b/>
              </w:rPr>
              <w:t>Net 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3,577,951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3,403,169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501,565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7,058,992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6,613,231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974,670</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150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1505" w:type="dxa"/>
            <w:tcBorders/>
            <w:shd w:fill="CCEEFF" w:val="clear"/>
            <w:vAlign w:val="center"/>
          </w:tcPr>
          <w:p>
            <w:pPr>
              <w:pStyle w:val="TableContents"/>
              <w:bidi w:val="0"/>
              <w:spacing w:before="0" w:after="283"/>
              <w:jc w:val="left"/>
              <w:rPr/>
            </w:pPr>
            <w:r>
              <w:rPr/>
              <w:t>Origination, servicing expenses and other cost of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(674,544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(732,912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(108,018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(1,295,009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(1,478,084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(217,843</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1505" w:type="dxa"/>
            <w:tcBorders/>
            <w:shd w:fill="FFFFFF" w:val="clear"/>
            <w:vAlign w:val="center"/>
          </w:tcPr>
          <w:p>
            <w:pPr>
              <w:pStyle w:val="TableContents"/>
              <w:bidi w:val="0"/>
              <w:spacing w:before="0" w:after="283"/>
              <w:jc w:val="left"/>
              <w:rPr/>
            </w:pPr>
            <w:r>
              <w:rPr/>
              <w:t>Sales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(606,444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(480,851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(70,869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(1,136,147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(973,298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(143,446</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1505"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(128,974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(118,934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(17,529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(255,015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(244,393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(36,019</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1505"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(110,196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(106,349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(15,674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(217,090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(220,192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(32,452</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1505" w:type="dxa"/>
            <w:tcBorders/>
            <w:shd w:fill="CCEEFF" w:val="clear"/>
            <w:vAlign w:val="center"/>
          </w:tcPr>
          <w:p>
            <w:pPr>
              <w:pStyle w:val="TableContents"/>
              <w:bidi w:val="0"/>
              <w:spacing w:before="0" w:after="283"/>
              <w:jc w:val="left"/>
              <w:rPr/>
            </w:pPr>
            <w:r>
              <w:rPr/>
              <w:t>Provision for accounts receivable and contract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(106,345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(97,868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(14,424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(224,063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(209,382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(30,859</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1505" w:type="dxa"/>
            <w:tcBorders/>
            <w:shd w:fill="FFFFFF" w:val="clear"/>
            <w:vAlign w:val="center"/>
          </w:tcPr>
          <w:p>
            <w:pPr>
              <w:pStyle w:val="TableContents"/>
              <w:bidi w:val="0"/>
              <w:spacing w:before="0" w:after="283"/>
              <w:jc w:val="left"/>
              <w:rPr/>
            </w:pPr>
            <w:r>
              <w:rPr/>
              <w:t>Provision for loans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(98,379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(164,435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(24,235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(183,793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(382,583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(56,386</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1505" w:type="dxa"/>
            <w:tcBorders/>
            <w:shd w:fill="CCEEFF" w:val="clear"/>
            <w:vAlign w:val="center"/>
          </w:tcPr>
          <w:p>
            <w:pPr>
              <w:pStyle w:val="TableContents"/>
              <w:bidi w:val="0"/>
              <w:spacing w:before="0" w:after="283"/>
              <w:jc w:val="left"/>
              <w:rPr/>
            </w:pPr>
            <w:r>
              <w:rPr/>
              <w:t>Credit losses for quality assurance commitment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(987,139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(1,108,811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(163,419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(1,998,754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(1,965,448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(289,671</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1505" w:type="dxa"/>
            <w:tcBorders/>
            <w:shd w:fill="FFFFFF" w:val="clear"/>
            <w:vAlign w:val="center"/>
          </w:tcPr>
          <w:p>
            <w:pPr>
              <w:pStyle w:val="TableContents"/>
              <w:bidi w:val="0"/>
              <w:spacing w:before="0" w:after="283"/>
              <w:jc w:val="left"/>
              <w:rPr/>
            </w:pPr>
            <w:r>
              <w:rPr/>
              <w:t>Impairment of goodwill and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(50,411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(63,760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(9,397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(50,411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(63,760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(9,397</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150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(2,762,432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(2,873,920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(423,565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(5,360,282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(5,537,140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(816,073</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1505" w:type="dxa"/>
            <w:tcBorders/>
            <w:shd w:fill="FFFFFF" w:val="clear"/>
            <w:vAlign w:val="center"/>
          </w:tcPr>
          <w:p>
            <w:pPr>
              <w:pStyle w:val="TableContents"/>
              <w:bidi w:val="0"/>
              <w:spacing w:before="0" w:after="283"/>
              <w:jc w:val="left"/>
              <w:rPr>
                <w:b/>
              </w:rPr>
            </w:pPr>
            <w:r>
              <w:rPr>
                <w:b/>
              </w:rPr>
              <w:t>Operating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815,519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529,249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1,698,710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1,076,091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158,597</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1505"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(1,444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(20,018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(2,950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(2,096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(37,165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(5,477</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150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115,908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33,900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4,996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124,941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18,379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2,709</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1505" w:type="dxa"/>
            <w:tcBorders/>
            <w:shd w:fill="CCEEFF" w:val="clear"/>
            <w:vAlign w:val="center"/>
          </w:tcPr>
          <w:p>
            <w:pPr>
              <w:pStyle w:val="TableContents"/>
              <w:bidi w:val="0"/>
              <w:spacing w:before="0" w:after="283"/>
              <w:jc w:val="left"/>
              <w:rPr>
                <w:b/>
              </w:rPr>
            </w:pPr>
            <w:r>
              <w:rPr>
                <w:b/>
              </w:rPr>
              <w:t>Profit before 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929,983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543,131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80,046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1,821,555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1,057,305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155,829</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1505" w:type="dxa"/>
            <w:tcBorders/>
            <w:shd w:fill="FFFFFF" w:val="clear"/>
            <w:vAlign w:val="center"/>
          </w:tcPr>
          <w:p>
            <w:pPr>
              <w:pStyle w:val="TableContents"/>
              <w:bidi w:val="0"/>
              <w:spacing w:before="0" w:after="283"/>
              <w:jc w:val="left"/>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(178,670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(116,361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(17,149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(332,601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(209,478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(30,873</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1505" w:type="dxa"/>
            <w:tcBorders/>
            <w:shd w:fill="CCEEFF" w:val="clear"/>
            <w:vAlign w:val="center"/>
          </w:tcPr>
          <w:p>
            <w:pPr>
              <w:pStyle w:val="TableContents"/>
              <w:bidi w:val="0"/>
              <w:spacing w:before="0" w:after="283"/>
              <w:jc w:val="left"/>
              <w:rPr>
                <w:b/>
              </w:rPr>
            </w:pPr>
            <w:r>
              <w:rPr>
                <w:b/>
              </w:rPr>
              <w:t>Net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751,313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426,770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62,897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1,488,954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847,827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124,956</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1505" w:type="dxa"/>
            <w:tcBorders/>
            <w:shd w:fill="FFFFFF" w:val="clear"/>
            <w:vAlign w:val="center"/>
          </w:tcPr>
          <w:p>
            <w:pPr>
              <w:pStyle w:val="TableContents"/>
              <w:bidi w:val="0"/>
              <w:spacing w:before="0" w:after="283"/>
              <w:jc w:val="left"/>
              <w:rPr/>
            </w:pPr>
            <w:r>
              <w:rPr/>
              <w:t>Less: Net profit/(loss) attributable to non-controlling interest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(14,781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(2,178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(4,449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(8,786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(1,295</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1505" w:type="dxa"/>
            <w:tcBorders/>
            <w:shd w:fill="CCEEFF" w:val="clear"/>
            <w:vAlign w:val="center"/>
          </w:tcPr>
          <w:p>
            <w:pPr>
              <w:pStyle w:val="TableContents"/>
              <w:bidi w:val="0"/>
              <w:spacing w:before="0" w:after="283"/>
              <w:jc w:val="left"/>
              <w:rPr>
                <w:b/>
              </w:rPr>
            </w:pPr>
            <w:r>
              <w:rPr>
                <w:b/>
              </w:rPr>
              <w:t>Net profit attributable to FinVolution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746,997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441,551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1,493,403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856,613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126,251</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1505" w:type="dxa"/>
            <w:tcBorders/>
            <w:shd w:fill="FFFFFF" w:val="clear"/>
            <w:vAlign w:val="center"/>
          </w:tcPr>
          <w:p>
            <w:pPr>
              <w:pStyle w:val="TableContents"/>
              <w:bidi w:val="0"/>
              <w:spacing w:before="0" w:after="283"/>
              <w:jc w:val="left"/>
              <w:rPr/>
            </w:pPr>
            <w:r>
              <w:rPr/>
              <w:t>Foreign currency translation adjustment, net of nil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705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(5,213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(768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(15,568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19,843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2,924</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 attributable to FinVolution Group</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747,702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436,338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64,307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1,477,835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876,456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129,175</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1505" w:type="dxa"/>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shares used in computing net profit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150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1,280,035,833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1,179,633,966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1,179,633,966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1,272,937,319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1,186,923,976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1,186,923,976</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150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1,322,804,429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1,252,313,020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1,252,313,020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1,319,415,709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1,268,035,160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1,268,035,160</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profit per share attributable to FinVolution Group’s ordinary shareholders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150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0.11</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150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0.10</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1505" w:type="dxa"/>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profit per ADS attributable to FinVolution Group’s ordinary shareholders (one ADS equals five ordinary shares)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150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0.53</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150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0.51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5"/>
        <w:gridCol w:w="60"/>
        <w:gridCol w:w="60"/>
        <w:gridCol w:w="1055"/>
        <w:gridCol w:w="95"/>
        <w:gridCol w:w="60"/>
        <w:gridCol w:w="60"/>
        <w:gridCol w:w="1055"/>
        <w:gridCol w:w="95"/>
        <w:gridCol w:w="60"/>
        <w:gridCol w:w="60"/>
        <w:gridCol w:w="875"/>
        <w:gridCol w:w="95"/>
        <w:gridCol w:w="60"/>
        <w:gridCol w:w="60"/>
        <w:gridCol w:w="980"/>
        <w:gridCol w:w="95"/>
        <w:gridCol w:w="60"/>
        <w:gridCol w:w="60"/>
        <w:gridCol w:w="1055"/>
        <w:gridCol w:w="95"/>
        <w:gridCol w:w="60"/>
        <w:gridCol w:w="60"/>
        <w:gridCol w:w="875"/>
        <w:gridCol w:w="11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Net cash provided by/(used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(389,983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(57,477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530,962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(805,354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(118,695</w:t>
            </w:r>
          </w:p>
        </w:tc>
        <w:tc>
          <w:tcPr>
            <w:tcW w:w="110" w:type="dxa"/>
            <w:tcBorders/>
            <w:shd w:fill="CCEEFF" w:val="clear"/>
            <w:vAlign w:val="center"/>
          </w:tcPr>
          <w:p>
            <w:pPr>
              <w:pStyle w:val="TableContents"/>
              <w:bidi w:val="0"/>
              <w:spacing w:before="0" w:after="283"/>
              <w:jc w:val="left"/>
              <w:rPr/>
            </w:pPr>
            <w:r>
              <w:rPr/>
              <w:t>)</w:t>
            </w:r>
          </w:p>
        </w:tc>
      </w:tr>
      <w:tr>
        <w:trPr/>
        <w:tc>
          <w:tcPr>
            <w:tcW w:w="3005" w:type="dxa"/>
            <w:tcBorders/>
            <w:shd w:fill="FFFFFF" w:val="clear"/>
            <w:vAlign w:val="center"/>
          </w:tcPr>
          <w:p>
            <w:pPr>
              <w:pStyle w:val="TableContents"/>
              <w:bidi w:val="0"/>
              <w:spacing w:before="0" w:after="283"/>
              <w:jc w:val="left"/>
              <w:rPr/>
            </w:pPr>
            <w:r>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(1,025,083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(515,472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(75,971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(659,887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271,911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40,075</w:t>
            </w:r>
          </w:p>
        </w:tc>
        <w:tc>
          <w:tcPr>
            <w:tcW w:w="11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Net cash provided by/(used in)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658,029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(708,061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(104,355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459,698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(698,643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(102,967</w:t>
            </w:r>
          </w:p>
        </w:tc>
        <w:tc>
          <w:tcPr>
            <w:tcW w:w="110" w:type="dxa"/>
            <w:tcBorders/>
            <w:shd w:fill="CCEEFF" w:val="clear"/>
            <w:vAlign w:val="center"/>
          </w:tcPr>
          <w:p>
            <w:pPr>
              <w:pStyle w:val="TableContents"/>
              <w:bidi w:val="0"/>
              <w:spacing w:before="0" w:after="283"/>
              <w:jc w:val="left"/>
              <w:rPr/>
            </w:pPr>
            <w:r>
              <w:rPr/>
              <w:t>)</w:t>
            </w:r>
          </w:p>
        </w:tc>
      </w:tr>
      <w:tr>
        <w:trPr/>
        <w:tc>
          <w:tcPr>
            <w:tcW w:w="3005"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(46,217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(6,811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(5,511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(74,965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(11,048</w:t>
            </w:r>
          </w:p>
        </w:tc>
        <w:tc>
          <w:tcPr>
            <w:tcW w:w="110" w:type="dxa"/>
            <w:tcBorders/>
            <w:shd w:fill="FFFFFF" w:val="clear"/>
            <w:vAlign w:val="center"/>
          </w:tcPr>
          <w:p>
            <w:pPr>
              <w:pStyle w:val="TableContents"/>
              <w:bidi w:val="0"/>
              <w:spacing w:before="0" w:after="283"/>
              <w:jc w:val="left"/>
              <w:rPr/>
            </w:pPr>
            <w:r>
              <w:rPr/>
              <w:t>)</w:t>
            </w:r>
          </w:p>
        </w:tc>
      </w:tr>
      <w:tr>
        <w:trPr/>
        <w:tc>
          <w:tcPr>
            <w:tcW w:w="3005" w:type="dxa"/>
            <w:tcBorders/>
            <w:shd w:fill="CCEEFF" w:val="clear"/>
            <w:vAlign w:val="center"/>
          </w:tcPr>
          <w:p>
            <w:pPr>
              <w:pStyle w:val="TableContents"/>
              <w:bidi w:val="0"/>
              <w:spacing w:before="0" w:after="283"/>
              <w:jc w:val="left"/>
              <w:rPr/>
            </w:pPr>
            <w:r>
              <w:rPr/>
              <w:t>Net increase in cash, cash equivalent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(352,673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(1,659,733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(244,614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325,262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(1,307,051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(192,635</w:t>
            </w:r>
          </w:p>
        </w:tc>
        <w:tc>
          <w:tcPr>
            <w:tcW w:w="110" w:type="dxa"/>
            <w:tcBorders/>
            <w:shd w:fill="CCEEFF" w:val="clear"/>
            <w:vAlign w:val="center"/>
          </w:tcPr>
          <w:p>
            <w:pPr>
              <w:pStyle w:val="TableContents"/>
              <w:bidi w:val="0"/>
              <w:spacing w:before="0" w:after="283"/>
              <w:jc w:val="left"/>
              <w:rPr/>
            </w:pPr>
            <w:r>
              <w:rPr/>
              <w:t>)</w:t>
            </w:r>
          </w:p>
        </w:tc>
      </w:tr>
      <w:tr>
        <w:trPr/>
        <w:tc>
          <w:tcPr>
            <w:tcW w:w="3005" w:type="dxa"/>
            <w:tcBorders/>
            <w:shd w:fill="FFFFFF" w:val="clear"/>
            <w:vAlign w:val="center"/>
          </w:tcPr>
          <w:p>
            <w:pPr>
              <w:pStyle w:val="TableContents"/>
              <w:bidi w:val="0"/>
              <w:spacing w:before="0" w:after="283"/>
              <w:jc w:val="left"/>
              <w:rPr/>
            </w:pPr>
            <w:r>
              <w:rPr/>
              <w:t>Cash, cash equivalent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7,425,007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6,550,653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965,447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6,747,072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6,197,971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913,468</w:t>
            </w:r>
          </w:p>
        </w:tc>
        <w:tc>
          <w:tcPr>
            <w:tcW w:w="11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Cash, cash equivalent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7,072,334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4,890,920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720,833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7,072,334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4,890,920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720,833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and Non-GAAP Results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jc w:val="center"/>
        <w:rPr>
          <w:caps w:val="false"/>
          <w:smallCaps w:val="false"/>
        </w:rPr>
      </w:pPr>
      <w:r>
        <w:rPr>
          <w:caps w:val="false"/>
          <w:smallCaps w:val="false"/>
        </w:rPr>
        <w:t> </w:t>
      </w:r>
    </w:p>
    <w:tbl>
      <w:tblPr>
        <w:tblW w:w="11915" w:type="dxa"/>
        <w:jc w:val="left"/>
        <w:tblInd w:w="0" w:type="dxa"/>
        <w:tblLayout w:type="fixed"/>
        <w:tblCellMar>
          <w:top w:w="0" w:type="dxa"/>
          <w:left w:w="0" w:type="dxa"/>
          <w:bottom w:w="0" w:type="dxa"/>
          <w:right w:w="0" w:type="dxa"/>
        </w:tblCellMar>
      </w:tblPr>
      <w:tblGrid>
        <w:gridCol w:w="1490"/>
        <w:gridCol w:w="60"/>
        <w:gridCol w:w="60"/>
        <w:gridCol w:w="1400"/>
        <w:gridCol w:w="215"/>
        <w:gridCol w:w="60"/>
        <w:gridCol w:w="60"/>
        <w:gridCol w:w="1400"/>
        <w:gridCol w:w="215"/>
        <w:gridCol w:w="60"/>
        <w:gridCol w:w="60"/>
        <w:gridCol w:w="1400"/>
        <w:gridCol w:w="215"/>
        <w:gridCol w:w="60"/>
        <w:gridCol w:w="60"/>
        <w:gridCol w:w="1400"/>
        <w:gridCol w:w="215"/>
        <w:gridCol w:w="60"/>
        <w:gridCol w:w="60"/>
        <w:gridCol w:w="1400"/>
        <w:gridCol w:w="215"/>
        <w:gridCol w:w="60"/>
        <w:gridCol w:w="60"/>
        <w:gridCol w:w="1400"/>
        <w:gridCol w:w="230"/>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RMB</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RMB</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USD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RMB</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RMB</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USD</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b/>
              </w:rPr>
            </w:pPr>
            <w:r>
              <w:rPr>
                <w:b/>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3,577,951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3,403,169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501,565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7,058,992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6,613,231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974,670</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Less: 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(2,762,432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(2,873,920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(423,565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(5,360,282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(5,537,140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(816,073</w:t>
            </w:r>
          </w:p>
        </w:tc>
        <w:tc>
          <w:tcPr>
            <w:tcW w:w="230" w:type="dxa"/>
            <w:tcBorders/>
            <w:shd w:fill="FFFFFF" w:val="clear"/>
            <w:vAlign w:val="center"/>
          </w:tcPr>
          <w:p>
            <w:pPr>
              <w:pStyle w:val="TableContents"/>
              <w:bidi w:val="0"/>
              <w:spacing w:before="0" w:after="283"/>
              <w:jc w:val="left"/>
              <w:rPr/>
            </w:pPr>
            <w:r>
              <w:rPr/>
              <w:t>)</w:t>
            </w:r>
          </w:p>
        </w:tc>
      </w:tr>
      <w:tr>
        <w:trPr/>
        <w:tc>
          <w:tcPr>
            <w:tcW w:w="1490" w:type="dxa"/>
            <w:tcBorders/>
            <w:shd w:fill="CCEEFF" w:val="clear"/>
            <w:vAlign w:val="center"/>
          </w:tcPr>
          <w:p>
            <w:pPr>
              <w:pStyle w:val="TableContents"/>
              <w:bidi w:val="0"/>
              <w:spacing w:before="0" w:after="283"/>
              <w:jc w:val="left"/>
              <w:rPr>
                <w:b/>
              </w:rPr>
            </w:pPr>
            <w:r>
              <w:rPr>
                <w:b/>
              </w:rPr>
              <w:t>Operating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815,519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529,249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78,000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1,698,710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1,076,091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158,597</w:t>
            </w:r>
          </w:p>
        </w:tc>
        <w:tc>
          <w:tcPr>
            <w:tcW w:w="230" w:type="dxa"/>
            <w:tcBorders/>
            <w:shd w:fill="CCEEFF" w:val="clear"/>
            <w:vAlign w:val="center"/>
          </w:tcPr>
          <w:p>
            <w:pPr>
              <w:pStyle w:val="TableContents"/>
              <w:bidi w:val="0"/>
              <w:spacing w:before="0" w:after="283"/>
              <w:ind w:left="0" w:right="0" w:hanging="176"/>
              <w:jc w:val="left"/>
              <w:rPr/>
            </w:pPr>
            <w:r>
              <w:rPr/>
              <w:t> </w:t>
            </w:r>
          </w:p>
        </w:tc>
      </w:tr>
      <w:tr>
        <w:trPr/>
        <w:tc>
          <w:tcPr>
            <w:tcW w:w="1490" w:type="dxa"/>
            <w:tcBorders/>
            <w:shd w:fill="FFFFFF" w:val="clear"/>
            <w:vAlign w:val="center"/>
          </w:tcPr>
          <w:p>
            <w:pPr>
              <w:pStyle w:val="TableContents"/>
              <w:bidi w:val="0"/>
              <w:spacing w:before="0" w:after="283"/>
              <w:jc w:val="left"/>
              <w:rPr/>
            </w:pPr>
            <w:r>
              <w:rPr/>
              <w:t>Add: 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39,318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42,866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6,318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73,997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81,039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11,944</w:t>
            </w:r>
          </w:p>
        </w:tc>
        <w:tc>
          <w:tcPr>
            <w:tcW w:w="230"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b/>
              </w:rPr>
            </w:pPr>
            <w:r>
              <w:rPr>
                <w:b/>
              </w:rPr>
              <w:t>Non-GAAP adjusted operating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854,837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572,115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84,318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1,772,707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1,157,130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170,541</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b/>
              </w:rPr>
            </w:pPr>
            <w:r>
              <w:rPr>
                <w:b/>
              </w:rPr>
              <w:t>Operating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22.8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15.6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15.6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16.3</w:t>
            </w:r>
          </w:p>
        </w:tc>
        <w:tc>
          <w:tcPr>
            <w:tcW w:w="230" w:type="dxa"/>
            <w:tcBorders/>
            <w:shd w:fill="CCEEFF" w:val="clear"/>
            <w:vAlign w:val="center"/>
          </w:tcPr>
          <w:p>
            <w:pPr>
              <w:pStyle w:val="TableContents"/>
              <w:bidi w:val="0"/>
              <w:spacing w:before="0" w:after="283"/>
              <w:jc w:val="left"/>
              <w:rPr/>
            </w:pPr>
            <w:r>
              <w:rPr/>
              <w:t>%</w:t>
            </w:r>
          </w:p>
        </w:tc>
      </w:tr>
      <w:tr>
        <w:trPr/>
        <w:tc>
          <w:tcPr>
            <w:tcW w:w="1490" w:type="dxa"/>
            <w:tcBorders/>
            <w:shd w:fill="FFFFFF" w:val="clear"/>
            <w:vAlign w:val="center"/>
          </w:tcPr>
          <w:p>
            <w:pPr>
              <w:pStyle w:val="TableContents"/>
              <w:bidi w:val="0"/>
              <w:spacing w:before="0" w:after="283"/>
              <w:jc w:val="left"/>
              <w:rPr>
                <w:b/>
              </w:rPr>
            </w:pPr>
            <w:r>
              <w:rPr>
                <w:b/>
              </w:rPr>
              <w:t>Non-GAAP operating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23.9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16.8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16.8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25.1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17.5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17.5</w:t>
            </w:r>
          </w:p>
        </w:tc>
        <w:tc>
          <w:tcPr>
            <w:tcW w:w="230" w:type="dxa"/>
            <w:tcBorders/>
            <w:shd w:fill="FFFFFF" w:val="clear"/>
            <w:vAlign w:val="center"/>
          </w:tcPr>
          <w:p>
            <w:pPr>
              <w:pStyle w:val="TableContents"/>
              <w:bidi w:val="0"/>
              <w:spacing w:before="0" w:after="283"/>
              <w:jc w:val="left"/>
              <w:rPr/>
            </w:pPr>
            <w:r>
              <w:rPr/>
              <w:t>%</w:t>
            </w:r>
          </w:p>
        </w:tc>
      </w:tr>
      <w:tr>
        <w:trPr/>
        <w:tc>
          <w:tcPr>
            <w:tcW w:w="1490" w:type="dxa"/>
            <w:tcBorders/>
            <w:shd w:fill="CCEEFF" w:val="clear"/>
            <w:vAlign w:val="center"/>
          </w:tcPr>
          <w:p>
            <w:pPr>
              <w:pStyle w:val="TableContents"/>
              <w:bidi w:val="0"/>
              <w:spacing w:before="0" w:after="283"/>
              <w:jc w:val="left"/>
              <w:rPr>
                <w:b/>
              </w:rPr>
            </w:pPr>
            <w:r>
              <w:rPr>
                <w:b/>
              </w:rPr>
              <w:t>Non-GAAP adjusted operating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854,837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572,115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84,318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1,772,707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1,157,130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170,541</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Less: interest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(1,444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(20,018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(2,950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(2,096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(37,165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(5,477</w:t>
            </w:r>
          </w:p>
        </w:tc>
        <w:tc>
          <w:tcPr>
            <w:tcW w:w="230" w:type="dxa"/>
            <w:tcBorders/>
            <w:shd w:fill="FFFFFF" w:val="clear"/>
            <w:vAlign w:val="center"/>
          </w:tcPr>
          <w:p>
            <w:pPr>
              <w:pStyle w:val="TableContents"/>
              <w:bidi w:val="0"/>
              <w:spacing w:before="0" w:after="283"/>
              <w:jc w:val="left"/>
              <w:rPr/>
            </w:pPr>
            <w:r>
              <w:rPr/>
              <w:t>)</w:t>
            </w:r>
          </w:p>
        </w:tc>
      </w:tr>
      <w:tr>
        <w:trPr/>
        <w:tc>
          <w:tcPr>
            <w:tcW w:w="1490" w:type="dxa"/>
            <w:tcBorders/>
            <w:shd w:fill="CCEEFF" w:val="clear"/>
            <w:vAlign w:val="center"/>
          </w:tcPr>
          <w:p>
            <w:pPr>
              <w:pStyle w:val="TableContents"/>
              <w:bidi w:val="0"/>
              <w:spacing w:before="0" w:after="283"/>
              <w:jc w:val="left"/>
              <w:rPr/>
            </w:pPr>
            <w:r>
              <w:rPr/>
              <w:t>Add: other income,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115,908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33,900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4,996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124,941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18,379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2,709</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Less: 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(178,670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(116,361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(17,149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(332,601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(209,478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(30,873</w:t>
            </w:r>
          </w:p>
        </w:tc>
        <w:tc>
          <w:tcPr>
            <w:tcW w:w="230" w:type="dxa"/>
            <w:tcBorders/>
            <w:shd w:fill="FFFFFF" w:val="clear"/>
            <w:vAlign w:val="center"/>
          </w:tcPr>
          <w:p>
            <w:pPr>
              <w:pStyle w:val="TableContents"/>
              <w:bidi w:val="0"/>
              <w:spacing w:before="0" w:after="283"/>
              <w:jc w:val="left"/>
              <w:rPr/>
            </w:pPr>
            <w:r>
              <w:rPr/>
              <w:t>)</w:t>
            </w:r>
          </w:p>
        </w:tc>
      </w:tr>
      <w:tr>
        <w:trPr/>
        <w:tc>
          <w:tcPr>
            <w:tcW w:w="1490" w:type="dxa"/>
            <w:tcBorders/>
            <w:shd w:fill="CCEEFF" w:val="clear"/>
            <w:vAlign w:val="center"/>
          </w:tcPr>
          <w:p>
            <w:pPr>
              <w:pStyle w:val="TableContents"/>
              <w:bidi w:val="0"/>
              <w:spacing w:before="0" w:after="283"/>
              <w:jc w:val="left"/>
              <w:rPr>
                <w:b/>
              </w:rPr>
            </w:pPr>
            <w:r>
              <w:rPr>
                <w:b/>
              </w:rPr>
              <w:t>Non-GAAP net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790,631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469,636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69,215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1,562,951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928,866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136,900</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Less: Net profit/(loss) attributable to non-controlling interest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4,316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(14,781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(2,178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(4,449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(8,786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(1,295</w:t>
            </w:r>
          </w:p>
        </w:tc>
        <w:tc>
          <w:tcPr>
            <w:tcW w:w="230" w:type="dxa"/>
            <w:tcBorders/>
            <w:shd w:fill="FFFFFF" w:val="clear"/>
            <w:vAlign w:val="center"/>
          </w:tcPr>
          <w:p>
            <w:pPr>
              <w:pStyle w:val="TableContents"/>
              <w:bidi w:val="0"/>
              <w:spacing w:before="0" w:after="283"/>
              <w:jc w:val="left"/>
              <w:rPr/>
            </w:pPr>
            <w:r>
              <w:rPr/>
              <w:t>)</w:t>
            </w:r>
          </w:p>
        </w:tc>
      </w:tr>
      <w:tr>
        <w:trPr/>
        <w:tc>
          <w:tcPr>
            <w:tcW w:w="1490" w:type="dxa"/>
            <w:tcBorders/>
            <w:shd w:fill="CCEEFF" w:val="clear"/>
            <w:vAlign w:val="center"/>
          </w:tcPr>
          <w:p>
            <w:pPr>
              <w:pStyle w:val="TableContents"/>
              <w:bidi w:val="0"/>
              <w:spacing w:before="0" w:after="283"/>
              <w:jc w:val="left"/>
              <w:rPr>
                <w:b/>
              </w:rPr>
            </w:pPr>
            <w:r>
              <w:rPr>
                <w:b/>
              </w:rPr>
              <w:t>Non-GAAP net profit attributable to FinVolution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786,316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484,417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71,393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1,567,400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937,652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138,195</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b/>
              </w:rPr>
            </w:pPr>
            <w:r>
              <w:rPr>
                <w:b/>
              </w:rPr>
              <w:t>Weighted average number of ordinary shares used in  computing net income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1,280,035,833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1,179,633,966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1,179,633,966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1,272,937,319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1,186,923,976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1,186,923,976</w:t>
            </w:r>
          </w:p>
        </w:tc>
        <w:tc>
          <w:tcPr>
            <w:tcW w:w="230"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1,322,804,429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1,252,313,020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1,252,313,020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1,319,415,709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1,268,035,160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1,268,035,160</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b/>
              </w:rPr>
            </w:pPr>
            <w:r>
              <w:rPr>
                <w:b/>
              </w:rPr>
              <w:t>Non-GAAP net profit per share attributable to FinVolution Group’s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0.41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0.12</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0.59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0.39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0.06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0.75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0.11</w:t>
            </w:r>
          </w:p>
        </w:tc>
        <w:tc>
          <w:tcPr>
            <w:tcW w:w="230"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b/>
              </w:rPr>
            </w:pPr>
            <w:r>
              <w:rPr>
                <w:b/>
              </w:rPr>
              <w:t>Non-GAAP net profit per ADS attributable to FinVolution Group’s ordinary shareholders (one ADS equal five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3.07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2.05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0.30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6.16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3.95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0.58</w:t>
            </w:r>
          </w:p>
        </w:tc>
        <w:tc>
          <w:tcPr>
            <w:tcW w:w="230"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2.97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1.97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0.29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3.76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0.54</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Segment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46"/>
        <w:gridCol w:w="60"/>
        <w:gridCol w:w="84"/>
        <w:gridCol w:w="1493"/>
        <w:gridCol w:w="95"/>
        <w:gridCol w:w="60"/>
        <w:gridCol w:w="91"/>
        <w:gridCol w:w="1343"/>
        <w:gridCol w:w="95"/>
        <w:gridCol w:w="60"/>
        <w:gridCol w:w="60"/>
        <w:gridCol w:w="875"/>
        <w:gridCol w:w="95"/>
        <w:gridCol w:w="60"/>
        <w:gridCol w:w="104"/>
        <w:gridCol w:w="1101"/>
        <w:gridCol w:w="95"/>
        <w:gridCol w:w="60"/>
        <w:gridCol w:w="60"/>
        <w:gridCol w:w="1055"/>
        <w:gridCol w:w="113"/>
      </w:tblGrid>
      <w:tr>
        <w:trPr/>
        <w:tc>
          <w:tcPr>
            <w:tcW w:w="3146" w:type="dxa"/>
            <w:tcBorders>
              <w:bottom w:val="single" w:sz="8" w:space="0" w:color="000000"/>
            </w:tcBorders>
            <w:vAlign w:val="center"/>
          </w:tcPr>
          <w:p>
            <w:pPr>
              <w:pStyle w:val="TableContents"/>
              <w:bidi w:val="0"/>
              <w:spacing w:before="0" w:after="283"/>
              <w:jc w:val="left"/>
              <w:rPr>
                <w:b/>
              </w:rPr>
            </w:pPr>
            <w:r>
              <w:rPr>
                <w:b/>
              </w:rPr>
              <w:t>For the Three Months Ended June 30, 2026</w:t>
            </w:r>
          </w:p>
        </w:tc>
        <w:tc>
          <w:tcPr>
            <w:tcW w:w="60" w:type="dxa"/>
            <w:tcBorders/>
            <w:tcMar>
              <w:bottom w:w="0" w:type="dxa"/>
            </w:tcMar>
            <w:vAlign w:val="center"/>
          </w:tcPr>
          <w:p>
            <w:pPr>
              <w:pStyle w:val="TableContents"/>
              <w:bidi w:val="0"/>
              <w:spacing w:before="0" w:after="283"/>
              <w:jc w:val="left"/>
              <w:rPr/>
            </w:pPr>
            <w:r>
              <w:rPr/>
              <w:t> </w:t>
            </w:r>
          </w:p>
        </w:tc>
        <w:tc>
          <w:tcPr>
            <w:tcW w:w="1577" w:type="dxa"/>
            <w:gridSpan w:val="2"/>
            <w:tcBorders>
              <w:bottom w:val="single" w:sz="8" w:space="0" w:color="000000"/>
            </w:tcBorders>
            <w:vAlign w:val="center"/>
          </w:tcPr>
          <w:p>
            <w:pPr>
              <w:pStyle w:val="TableContents"/>
              <w:bidi w:val="0"/>
              <w:spacing w:before="0" w:after="283"/>
              <w:jc w:val="center"/>
              <w:rPr>
                <w:b/>
              </w:rPr>
            </w:pPr>
            <w:r>
              <w:rPr>
                <w:b/>
              </w:rPr>
              <w:t>Chinese Mainland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Overseas Markets</w:t>
            </w:r>
            <w:r>
              <w:rPr>
                <w:rFonts w:ascii="Times New Roman;Times;Serif" w:hAnsi="Times New Roman;Times;Serif"/>
                <w:b/>
                <w:position w:val="7"/>
                <w:sz w:val="16"/>
                <w:sz w:val="20"/>
              </w:rPr>
              <w:t>(1)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Others</w:t>
            </w:r>
            <w:r>
              <w:rPr>
                <w:rFonts w:ascii="Times New Roman;Times;Serif" w:hAnsi="Times New Roman;Times;Serif"/>
                <w:b/>
                <w:position w:val="7"/>
                <w:sz w:val="16"/>
                <w:sz w:val="20"/>
              </w:rPr>
              <w:t>(2)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8" w:space="0" w:color="000000"/>
            </w:tcBorders>
            <w:vAlign w:val="center"/>
          </w:tcPr>
          <w:p>
            <w:pPr>
              <w:pStyle w:val="TableContents"/>
              <w:bidi w:val="0"/>
              <w:spacing w:before="0" w:after="283"/>
              <w:jc w:val="center"/>
              <w:rPr>
                <w:b/>
              </w:rPr>
            </w:pPr>
            <w:r>
              <w:rPr>
                <w:b/>
              </w:rPr>
              <w:t>Elimination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Total</w:t>
            </w:r>
          </w:p>
        </w:tc>
        <w:tc>
          <w:tcPr>
            <w:tcW w:w="113" w:type="dxa"/>
            <w:tcBorders/>
            <w:tcMar>
              <w:bottom w:w="0" w:type="dxa"/>
            </w:tcMar>
            <w:vAlign w:val="center"/>
          </w:tcPr>
          <w:p>
            <w:pPr>
              <w:pStyle w:val="TableContents"/>
              <w:bidi w:val="0"/>
              <w:spacing w:before="0" w:after="283"/>
              <w:jc w:val="left"/>
              <w:rPr/>
            </w:pPr>
            <w:r>
              <w:rPr/>
              <w:t> </w:t>
            </w:r>
          </w:p>
        </w:tc>
      </w:tr>
      <w:tr>
        <w:trPr/>
        <w:tc>
          <w:tcPr>
            <w:tcW w:w="31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7" w:type="dxa"/>
            <w:gridSpan w:val="2"/>
            <w:tcBorders/>
            <w:tcMar>
              <w:bottom w:w="0" w:type="dxa"/>
            </w:tcMar>
            <w:vAlign w:val="center"/>
          </w:tcPr>
          <w:p>
            <w:pPr>
              <w:pStyle w:val="TableContents"/>
              <w:bidi w:val="0"/>
              <w:spacing w:before="0" w:after="283"/>
              <w:jc w:val="center"/>
              <w:rPr>
                <w:b/>
              </w:rPr>
            </w:pPr>
            <w:r>
              <w:rPr>
                <w:b/>
              </w:rPr>
              <w:t>RMB</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4" w:type="dxa"/>
            <w:gridSpan w:val="2"/>
            <w:tcBorders/>
            <w:tcMar>
              <w:bottom w:w="0" w:type="dxa"/>
            </w:tcMar>
            <w:vAlign w:val="center"/>
          </w:tcPr>
          <w:p>
            <w:pPr>
              <w:pStyle w:val="TableContents"/>
              <w:bidi w:val="0"/>
              <w:spacing w:before="0" w:after="283"/>
              <w:jc w:val="center"/>
              <w:rPr>
                <w:b/>
              </w:rPr>
            </w:pPr>
            <w:r>
              <w:rPr>
                <w:b/>
              </w:rPr>
              <w:t>RMB</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center"/>
              <w:rPr>
                <w:b/>
              </w:rPr>
            </w:pPr>
            <w:r>
              <w:rPr>
                <w:b/>
              </w:rPr>
              <w:t>RMB</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tcMar>
              <w:bottom w:w="0" w:type="dxa"/>
            </w:tcMar>
            <w:vAlign w:val="center"/>
          </w:tcPr>
          <w:p>
            <w:pPr>
              <w:pStyle w:val="TableContents"/>
              <w:bidi w:val="0"/>
              <w:spacing w:before="0" w:after="283"/>
              <w:jc w:val="center"/>
              <w:rPr>
                <w:b/>
              </w:rPr>
            </w:pPr>
            <w:r>
              <w:rPr>
                <w:b/>
              </w:rPr>
              <w:t>RMB</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center"/>
              <w:rPr>
                <w:b/>
              </w:rPr>
            </w:pPr>
            <w:r>
              <w:rPr>
                <w:b/>
              </w:rPr>
              <w:t>RMB</w:t>
            </w:r>
          </w:p>
        </w:tc>
        <w:tc>
          <w:tcPr>
            <w:tcW w:w="113" w:type="dxa"/>
            <w:tcBorders/>
            <w:tcMar>
              <w:bottom w:w="0" w:type="dxa"/>
            </w:tcMar>
            <w:vAlign w:val="center"/>
          </w:tcPr>
          <w:p>
            <w:pPr>
              <w:pStyle w:val="TableContents"/>
              <w:bidi w:val="0"/>
              <w:spacing w:before="0" w:after="283"/>
              <w:ind w:left="0" w:right="0" w:hanging="0"/>
              <w:jc w:val="left"/>
              <w:rPr/>
            </w:pPr>
            <w:r>
              <w:rPr/>
              <w:t> </w:t>
            </w:r>
          </w:p>
        </w:tc>
      </w:tr>
      <w:tr>
        <w:trPr/>
        <w:tc>
          <w:tcPr>
            <w:tcW w:w="3146"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493" w:type="dxa"/>
            <w:tcBorders/>
            <w:shd w:fill="CCEEFF" w:val="clear"/>
            <w:tcMar>
              <w:bottom w:w="0" w:type="dxa"/>
            </w:tcMar>
            <w:vAlign w:val="center"/>
          </w:tcPr>
          <w:p>
            <w:pPr>
              <w:pStyle w:val="TableContents"/>
              <w:bidi w:val="0"/>
              <w:spacing w:before="0" w:after="283"/>
              <w:jc w:val="right"/>
              <w:rPr/>
            </w:pPr>
            <w:r>
              <w:rPr/>
              <w:t>2,396,725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343" w:type="dxa"/>
            <w:tcBorders/>
            <w:shd w:fill="CCEEFF" w:val="clear"/>
            <w:tcMar>
              <w:bottom w:w="0" w:type="dxa"/>
            </w:tcMar>
            <w:vAlign w:val="center"/>
          </w:tcPr>
          <w:p>
            <w:pPr>
              <w:pStyle w:val="TableContents"/>
              <w:bidi w:val="0"/>
              <w:spacing w:before="0" w:after="283"/>
              <w:jc w:val="right"/>
              <w:rPr/>
            </w:pPr>
            <w:r>
              <w:rPr/>
              <w:t>930,283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81,676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right"/>
              <w:rPr/>
            </w:pPr>
            <w:r>
              <w:rPr/>
              <w:t>(5,515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3,403,169</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14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w:t>
            </w:r>
            <w:r>
              <w:rPr>
                <w:rFonts w:ascii="Times New Roman;Times;Serif" w:hAnsi="Times New Roman;Times;Serif"/>
                <w:position w:val="7"/>
                <w:sz w:val="16"/>
                <w:sz w:val="20"/>
              </w:rPr>
              <w:t>(3)</w:t>
            </w:r>
            <w:r>
              <w:rPr>
                <w:rFonts w:ascii="Times New Roman;Times;Serif" w:hAnsi="Times New Roman;Times;Serif"/>
                <w:sz w:val="20"/>
              </w:rPr>
              <w:t xml:space="preserve">: Operating Expenses </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bottom w:val="single" w:sz="8" w:space="0" w:color="000000"/>
            </w:tcBorders>
            <w:shd w:fill="FFFFFF" w:val="clear"/>
            <w:vAlign w:val="center"/>
          </w:tcPr>
          <w:p>
            <w:pPr>
              <w:pStyle w:val="TableContents"/>
              <w:bidi w:val="0"/>
              <w:spacing w:before="0" w:after="283"/>
              <w:jc w:val="left"/>
              <w:rPr/>
            </w:pPr>
            <w:r>
              <w:rPr/>
              <w:t> </w:t>
            </w:r>
          </w:p>
        </w:tc>
        <w:tc>
          <w:tcPr>
            <w:tcW w:w="1493" w:type="dxa"/>
            <w:tcBorders>
              <w:bottom w:val="single" w:sz="8" w:space="0" w:color="000000"/>
            </w:tcBorders>
            <w:shd w:fill="FFFFFF" w:val="clear"/>
            <w:vAlign w:val="center"/>
          </w:tcPr>
          <w:p>
            <w:pPr>
              <w:pStyle w:val="TableContents"/>
              <w:bidi w:val="0"/>
              <w:spacing w:before="0" w:after="283"/>
              <w:jc w:val="right"/>
              <w:rPr/>
            </w:pPr>
            <w:r>
              <w:rPr/>
              <w:t>(1,771,964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bottom w:val="single" w:sz="8" w:space="0" w:color="000000"/>
            </w:tcBorders>
            <w:shd w:fill="FFFFFF" w:val="clear"/>
            <w:vAlign w:val="center"/>
          </w:tcPr>
          <w:p>
            <w:pPr>
              <w:pStyle w:val="TableContents"/>
              <w:bidi w:val="0"/>
              <w:spacing w:before="0" w:after="283"/>
              <w:jc w:val="left"/>
              <w:rPr/>
            </w:pPr>
            <w:r>
              <w:rPr/>
              <w:t> </w:t>
            </w:r>
          </w:p>
        </w:tc>
        <w:tc>
          <w:tcPr>
            <w:tcW w:w="1343" w:type="dxa"/>
            <w:tcBorders>
              <w:bottom w:val="single" w:sz="8" w:space="0" w:color="000000"/>
            </w:tcBorders>
            <w:shd w:fill="FFFFFF" w:val="clear"/>
            <w:vAlign w:val="center"/>
          </w:tcPr>
          <w:p>
            <w:pPr>
              <w:pStyle w:val="TableContents"/>
              <w:bidi w:val="0"/>
              <w:spacing w:before="0" w:after="283"/>
              <w:jc w:val="right"/>
              <w:rPr/>
            </w:pPr>
            <w:r>
              <w:rPr/>
              <w:t>(876,648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5" w:type="dxa"/>
            <w:tcBorders>
              <w:bottom w:val="single" w:sz="8" w:space="0" w:color="000000"/>
            </w:tcBorders>
            <w:shd w:fill="FFFFFF" w:val="clear"/>
            <w:vAlign w:val="center"/>
          </w:tcPr>
          <w:p>
            <w:pPr>
              <w:pStyle w:val="TableContents"/>
              <w:bidi w:val="0"/>
              <w:spacing w:before="0" w:after="283"/>
              <w:jc w:val="right"/>
              <w:rPr/>
            </w:pPr>
            <w:r>
              <w:rPr/>
              <w:t>(124,197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bottom w:val="single" w:sz="8" w:space="0" w:color="000000"/>
            </w:tcBorders>
            <w:shd w:fill="FFFFFF" w:val="clear"/>
            <w:vAlign w:val="center"/>
          </w:tcPr>
          <w:p>
            <w:pPr>
              <w:pStyle w:val="TableContents"/>
              <w:bidi w:val="0"/>
              <w:spacing w:before="0" w:after="283"/>
              <w:jc w:val="left"/>
              <w:rPr/>
            </w:pPr>
            <w:r>
              <w:rPr/>
              <w:t> </w:t>
            </w:r>
          </w:p>
        </w:tc>
        <w:tc>
          <w:tcPr>
            <w:tcW w:w="1101" w:type="dxa"/>
            <w:tcBorders>
              <w:bottom w:val="single" w:sz="8" w:space="0" w:color="000000"/>
            </w:tcBorders>
            <w:shd w:fill="FFFFFF" w:val="clear"/>
            <w:vAlign w:val="center"/>
          </w:tcPr>
          <w:p>
            <w:pPr>
              <w:pStyle w:val="TableContents"/>
              <w:bidi w:val="0"/>
              <w:spacing w:before="0" w:after="283"/>
              <w:jc w:val="right"/>
              <w:rPr/>
            </w:pPr>
            <w:r>
              <w:rPr/>
              <w:t>5,515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(2,767,294</w:t>
            </w:r>
          </w:p>
        </w:tc>
        <w:tc>
          <w:tcPr>
            <w:tcW w:w="113" w:type="dxa"/>
            <w:tcBorders/>
            <w:shd w:fill="FFFFFF" w:val="clear"/>
            <w:tcMar>
              <w:bottom w:w="0" w:type="dxa"/>
            </w:tcMar>
            <w:vAlign w:val="center"/>
          </w:tcPr>
          <w:p>
            <w:pPr>
              <w:pStyle w:val="TableContents"/>
              <w:bidi w:val="0"/>
              <w:spacing w:before="0" w:after="283"/>
              <w:ind w:left="0" w:right="0" w:hanging="0"/>
              <w:jc w:val="left"/>
              <w:rPr/>
            </w:pPr>
            <w:r>
              <w:rPr/>
              <w:t>)</w:t>
            </w:r>
          </w:p>
        </w:tc>
      </w:tr>
      <w:tr>
        <w:trPr/>
        <w:tc>
          <w:tcPr>
            <w:tcW w:w="3146" w:type="dxa"/>
            <w:tcBorders/>
            <w:shd w:fill="CCEEFF" w:val="clear"/>
            <w:tcMar>
              <w:bottom w:w="0" w:type="dxa"/>
            </w:tcMar>
            <w:vAlign w:val="center"/>
          </w:tcPr>
          <w:p>
            <w:pPr>
              <w:pStyle w:val="TableContents"/>
              <w:bidi w:val="0"/>
              <w:spacing w:before="0" w:after="283"/>
              <w:jc w:val="left"/>
              <w:rPr>
                <w:b/>
              </w:rPr>
            </w:pPr>
            <w:r>
              <w:rPr>
                <w:b/>
              </w:rPr>
              <w:t>Operating Segment Profit/(Loss)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493" w:type="dxa"/>
            <w:tcBorders/>
            <w:shd w:fill="CCEEFF" w:val="clear"/>
            <w:tcMar>
              <w:bottom w:w="0" w:type="dxa"/>
            </w:tcMar>
            <w:vAlign w:val="center"/>
          </w:tcPr>
          <w:p>
            <w:pPr>
              <w:pStyle w:val="TableContents"/>
              <w:bidi w:val="0"/>
              <w:spacing w:before="0" w:after="283"/>
              <w:jc w:val="right"/>
              <w:rPr/>
            </w:pPr>
            <w:r>
              <w:rPr/>
              <w:t>624,761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343" w:type="dxa"/>
            <w:tcBorders/>
            <w:shd w:fill="CCEEFF" w:val="clear"/>
            <w:tcMar>
              <w:bottom w:w="0" w:type="dxa"/>
            </w:tcMar>
            <w:vAlign w:val="center"/>
          </w:tcPr>
          <w:p>
            <w:pPr>
              <w:pStyle w:val="TableContents"/>
              <w:bidi w:val="0"/>
              <w:spacing w:before="0" w:after="283"/>
              <w:jc w:val="right"/>
              <w:rPr/>
            </w:pPr>
            <w:r>
              <w:rPr/>
              <w:t>53,635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(42,521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635,875</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14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Unallocated expenses</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bottom w:val="single" w:sz="8" w:space="0" w:color="000000"/>
            </w:tcBorders>
            <w:shd w:fill="FFFFFF" w:val="clear"/>
            <w:vAlign w:val="center"/>
          </w:tcPr>
          <w:p>
            <w:pPr>
              <w:pStyle w:val="TableContents"/>
              <w:bidi w:val="0"/>
              <w:spacing w:before="0" w:after="283"/>
              <w:jc w:val="left"/>
              <w:rPr/>
            </w:pPr>
            <w:r>
              <w:rPr/>
              <w:t> </w:t>
            </w:r>
          </w:p>
        </w:tc>
        <w:tc>
          <w:tcPr>
            <w:tcW w:w="1493"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bottom w:val="single" w:sz="8" w:space="0" w:color="000000"/>
            </w:tcBorders>
            <w:shd w:fill="FFFFFF" w:val="clear"/>
            <w:vAlign w:val="center"/>
          </w:tcPr>
          <w:p>
            <w:pPr>
              <w:pStyle w:val="TableContents"/>
              <w:bidi w:val="0"/>
              <w:spacing w:before="0" w:after="283"/>
              <w:jc w:val="left"/>
              <w:rPr/>
            </w:pPr>
            <w:r>
              <w:rPr/>
              <w:t> </w:t>
            </w:r>
          </w:p>
        </w:tc>
        <w:tc>
          <w:tcPr>
            <w:tcW w:w="1343"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5"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bottom w:val="single" w:sz="8" w:space="0" w:color="000000"/>
            </w:tcBorders>
            <w:shd w:fill="FFFFFF" w:val="clear"/>
            <w:vAlign w:val="center"/>
          </w:tcPr>
          <w:p>
            <w:pPr>
              <w:pStyle w:val="TableContents"/>
              <w:bidi w:val="0"/>
              <w:spacing w:before="0" w:after="283"/>
              <w:jc w:val="left"/>
              <w:rPr/>
            </w:pPr>
            <w:r>
              <w:rPr/>
              <w:t> </w:t>
            </w:r>
          </w:p>
        </w:tc>
        <w:tc>
          <w:tcPr>
            <w:tcW w:w="1101"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(106,626</w:t>
            </w:r>
          </w:p>
        </w:tc>
        <w:tc>
          <w:tcPr>
            <w:tcW w:w="113" w:type="dxa"/>
            <w:tcBorders/>
            <w:shd w:fill="FFFFFF" w:val="clear"/>
            <w:tcMar>
              <w:bottom w:w="0" w:type="dxa"/>
            </w:tcMar>
            <w:vAlign w:val="center"/>
          </w:tcPr>
          <w:p>
            <w:pPr>
              <w:pStyle w:val="TableContents"/>
              <w:bidi w:val="0"/>
              <w:spacing w:before="0" w:after="283"/>
              <w:ind w:left="0" w:right="0" w:hanging="0"/>
              <w:jc w:val="left"/>
              <w:rPr/>
            </w:pPr>
            <w:r>
              <w:rPr/>
              <w:t>)</w:t>
            </w:r>
          </w:p>
        </w:tc>
      </w:tr>
      <w:tr>
        <w:trPr/>
        <w:tc>
          <w:tcPr>
            <w:tcW w:w="3146" w:type="dxa"/>
            <w:tcBorders/>
            <w:shd w:fill="CCEEFF" w:val="clear"/>
            <w:tcMar>
              <w:bottom w:w="0" w:type="dxa"/>
            </w:tcMar>
            <w:vAlign w:val="center"/>
          </w:tcPr>
          <w:p>
            <w:pPr>
              <w:pStyle w:val="TableContents"/>
              <w:bidi w:val="0"/>
              <w:spacing w:before="0" w:after="283"/>
              <w:jc w:val="left"/>
              <w:rPr>
                <w:b/>
              </w:rPr>
            </w:pPr>
            <w:r>
              <w:rPr>
                <w:b/>
              </w:rPr>
              <w:t>Operating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493" w:type="dxa"/>
            <w:tcBorders/>
            <w:shd w:fill="CCEEFF" w:val="clear"/>
            <w:tcMar>
              <w:bottom w:w="0" w:type="dxa"/>
            </w:tcM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343" w:type="dxa"/>
            <w:tcBorders/>
            <w:shd w:fill="CCEEFF" w:val="clear"/>
            <w:tcMar>
              <w:bottom w:w="0" w:type="dxa"/>
            </w:tcM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529,249</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87"/>
        <w:gridCol w:w="60"/>
        <w:gridCol w:w="89"/>
        <w:gridCol w:w="1575"/>
        <w:gridCol w:w="95"/>
        <w:gridCol w:w="60"/>
        <w:gridCol w:w="97"/>
        <w:gridCol w:w="1430"/>
        <w:gridCol w:w="95"/>
        <w:gridCol w:w="60"/>
        <w:gridCol w:w="60"/>
        <w:gridCol w:w="755"/>
        <w:gridCol w:w="95"/>
        <w:gridCol w:w="60"/>
        <w:gridCol w:w="104"/>
        <w:gridCol w:w="1101"/>
        <w:gridCol w:w="95"/>
        <w:gridCol w:w="60"/>
        <w:gridCol w:w="60"/>
        <w:gridCol w:w="1055"/>
        <w:gridCol w:w="112"/>
      </w:tblGrid>
      <w:tr>
        <w:trPr/>
        <w:tc>
          <w:tcPr>
            <w:tcW w:w="3087" w:type="dxa"/>
            <w:tcBorders>
              <w:bottom w:val="single" w:sz="8" w:space="0" w:color="000000"/>
            </w:tcBorders>
            <w:vAlign w:val="center"/>
          </w:tcPr>
          <w:p>
            <w:pPr>
              <w:pStyle w:val="TableContents"/>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For the Three Months Ended June 30, 2025</w:t>
            </w:r>
            <w:r>
              <w:rPr>
                <w:rFonts w:eastAsia="Times New Roman;Times;Serif"/>
                <w:b/>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1664" w:type="dxa"/>
            <w:gridSpan w:val="2"/>
            <w:tcBorders>
              <w:bottom w:val="single" w:sz="8" w:space="0" w:color="000000"/>
            </w:tcBorders>
            <w:vAlign w:val="center"/>
          </w:tcPr>
          <w:p>
            <w:pPr>
              <w:pStyle w:val="TableContents"/>
              <w:bidi w:val="0"/>
              <w:spacing w:before="0" w:after="283"/>
              <w:jc w:val="center"/>
              <w:rPr>
                <w:b/>
              </w:rPr>
            </w:pPr>
            <w:r>
              <w:rPr>
                <w:b/>
              </w:rPr>
              <w:t>Chinese Mainland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Overseas Markets</w:t>
            </w:r>
            <w:r>
              <w:rPr>
                <w:rFonts w:ascii="Times New Roman;Times;Serif" w:hAnsi="Times New Roman;Times;Serif"/>
                <w:b/>
                <w:position w:val="7"/>
                <w:sz w:val="16"/>
                <w:sz w:val="20"/>
              </w:rPr>
              <w:t>(1)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Others</w:t>
            </w:r>
            <w:r>
              <w:rPr>
                <w:rFonts w:ascii="Times New Roman;Times;Serif" w:hAnsi="Times New Roman;Times;Serif"/>
                <w:b/>
                <w:position w:val="7"/>
                <w:sz w:val="16"/>
                <w:sz w:val="20"/>
              </w:rPr>
              <w:t>(2)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8" w:space="0" w:color="000000"/>
            </w:tcBorders>
            <w:vAlign w:val="center"/>
          </w:tcPr>
          <w:p>
            <w:pPr>
              <w:pStyle w:val="TableContents"/>
              <w:bidi w:val="0"/>
              <w:spacing w:before="0" w:after="283"/>
              <w:jc w:val="center"/>
              <w:rPr>
                <w:b/>
              </w:rPr>
            </w:pPr>
            <w:r>
              <w:rPr>
                <w:b/>
              </w:rPr>
              <w:t>Elimination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Total</w:t>
            </w:r>
          </w:p>
        </w:tc>
        <w:tc>
          <w:tcPr>
            <w:tcW w:w="112" w:type="dxa"/>
            <w:tcBorders/>
            <w:tcMar>
              <w:bottom w:w="0" w:type="dxa"/>
            </w:tcMar>
            <w:vAlign w:val="center"/>
          </w:tcPr>
          <w:p>
            <w:pPr>
              <w:pStyle w:val="TableContents"/>
              <w:bidi w:val="0"/>
              <w:spacing w:before="0" w:after="283"/>
              <w:jc w:val="left"/>
              <w:rPr/>
            </w:pPr>
            <w:r>
              <w:rPr/>
              <w:t> </w:t>
            </w:r>
          </w:p>
        </w:tc>
      </w:tr>
      <w:tr>
        <w:trPr/>
        <w:tc>
          <w:tcPr>
            <w:tcW w:w="30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4" w:type="dxa"/>
            <w:gridSpan w:val="2"/>
            <w:tcBorders/>
            <w:tcMar>
              <w:bottom w:w="0" w:type="dxa"/>
            </w:tcMar>
            <w:vAlign w:val="center"/>
          </w:tcPr>
          <w:p>
            <w:pPr>
              <w:pStyle w:val="TableContents"/>
              <w:bidi w:val="0"/>
              <w:spacing w:before="0" w:after="283"/>
              <w:jc w:val="center"/>
              <w:rPr>
                <w:b/>
              </w:rPr>
            </w:pPr>
            <w:r>
              <w:rPr>
                <w:b/>
              </w:rPr>
              <w:t>RMB</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7" w:type="dxa"/>
            <w:gridSpan w:val="2"/>
            <w:tcBorders/>
            <w:tcMar>
              <w:bottom w:w="0" w:type="dxa"/>
            </w:tcMar>
            <w:vAlign w:val="center"/>
          </w:tcPr>
          <w:p>
            <w:pPr>
              <w:pStyle w:val="TableContents"/>
              <w:bidi w:val="0"/>
              <w:spacing w:before="0" w:after="283"/>
              <w:jc w:val="center"/>
              <w:rPr>
                <w:b/>
              </w:rPr>
            </w:pPr>
            <w:r>
              <w:rPr>
                <w:b/>
              </w:rPr>
              <w:t>RMB</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center"/>
              <w:rPr>
                <w:b/>
              </w:rPr>
            </w:pPr>
            <w:r>
              <w:rPr>
                <w:b/>
              </w:rPr>
              <w:t>RMB</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tcMar>
              <w:bottom w:w="0" w:type="dxa"/>
            </w:tcMar>
            <w:vAlign w:val="center"/>
          </w:tcPr>
          <w:p>
            <w:pPr>
              <w:pStyle w:val="TableContents"/>
              <w:bidi w:val="0"/>
              <w:spacing w:before="0" w:after="283"/>
              <w:jc w:val="center"/>
              <w:rPr>
                <w:b/>
              </w:rPr>
            </w:pPr>
            <w:r>
              <w:rPr>
                <w:b/>
              </w:rPr>
              <w:t>RMB</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center"/>
              <w:rPr>
                <w:b/>
              </w:rPr>
            </w:pPr>
            <w:r>
              <w:rPr>
                <w:b/>
              </w:rPr>
              <w:t>RMB</w:t>
            </w:r>
          </w:p>
        </w:tc>
        <w:tc>
          <w:tcPr>
            <w:tcW w:w="112" w:type="dxa"/>
            <w:tcBorders/>
            <w:tcMar>
              <w:bottom w:w="0" w:type="dxa"/>
            </w:tcMar>
            <w:vAlign w:val="center"/>
          </w:tcPr>
          <w:p>
            <w:pPr>
              <w:pStyle w:val="TableContents"/>
              <w:bidi w:val="0"/>
              <w:spacing w:before="0" w:after="283"/>
              <w:ind w:left="0" w:right="0" w:hanging="0"/>
              <w:jc w:val="left"/>
              <w:rPr/>
            </w:pPr>
            <w:r>
              <w:rPr/>
              <w:t> </w:t>
            </w:r>
          </w:p>
        </w:tc>
      </w:tr>
      <w:tr>
        <w:trPr/>
        <w:tc>
          <w:tcPr>
            <w:tcW w:w="3087"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jc w:val="right"/>
              <w:rPr/>
            </w:pPr>
            <w:r>
              <w:rPr/>
              <w:t>2,781,295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788,680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11,248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right"/>
              <w:rPr/>
            </w:pPr>
            <w:r>
              <w:rPr/>
              <w:t>(3,272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3,577,951</w:t>
            </w:r>
          </w:p>
        </w:tc>
        <w:tc>
          <w:tcPr>
            <w:tcW w:w="112"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08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w:t>
            </w:r>
            <w:r>
              <w:rPr>
                <w:rFonts w:ascii="Times New Roman;Times;Serif" w:hAnsi="Times New Roman;Times;Serif"/>
                <w:position w:val="7"/>
                <w:sz w:val="16"/>
                <w:sz w:val="20"/>
              </w:rPr>
              <w:t>(3)</w:t>
            </w:r>
            <w:r>
              <w:rPr>
                <w:rFonts w:ascii="Times New Roman;Times;Serif" w:hAnsi="Times New Roman;Times;Serif"/>
                <w:sz w:val="20"/>
              </w:rPr>
              <w:t xml:space="preserve">: Operating Expenses </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vAlign w:val="center"/>
          </w:tcPr>
          <w:p>
            <w:pPr>
              <w:pStyle w:val="TableContents"/>
              <w:bidi w:val="0"/>
              <w:spacing w:before="0" w:after="283"/>
              <w:jc w:val="left"/>
              <w:rPr/>
            </w:pPr>
            <w:r>
              <w:rPr/>
              <w:t> </w:t>
            </w:r>
          </w:p>
        </w:tc>
        <w:tc>
          <w:tcPr>
            <w:tcW w:w="1575" w:type="dxa"/>
            <w:tcBorders>
              <w:bottom w:val="single" w:sz="8" w:space="0" w:color="000000"/>
            </w:tcBorders>
            <w:shd w:fill="FFFFFF" w:val="clear"/>
            <w:vAlign w:val="center"/>
          </w:tcPr>
          <w:p>
            <w:pPr>
              <w:pStyle w:val="TableContents"/>
              <w:bidi w:val="0"/>
              <w:spacing w:before="0" w:after="283"/>
              <w:jc w:val="right"/>
              <w:rPr/>
            </w:pPr>
            <w:r>
              <w:rPr/>
              <w:t>(1,867,744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(763,104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(45,127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bottom w:val="single" w:sz="8" w:space="0" w:color="000000"/>
            </w:tcBorders>
            <w:shd w:fill="FFFFFF" w:val="clear"/>
            <w:vAlign w:val="center"/>
          </w:tcPr>
          <w:p>
            <w:pPr>
              <w:pStyle w:val="TableContents"/>
              <w:bidi w:val="0"/>
              <w:spacing w:before="0" w:after="283"/>
              <w:jc w:val="left"/>
              <w:rPr/>
            </w:pPr>
            <w:r>
              <w:rPr/>
              <w:t> </w:t>
            </w:r>
          </w:p>
        </w:tc>
        <w:tc>
          <w:tcPr>
            <w:tcW w:w="1101" w:type="dxa"/>
            <w:tcBorders>
              <w:bottom w:val="single" w:sz="8" w:space="0" w:color="000000"/>
            </w:tcBorders>
            <w:shd w:fill="FFFFFF" w:val="clear"/>
            <w:vAlign w:val="center"/>
          </w:tcPr>
          <w:p>
            <w:pPr>
              <w:pStyle w:val="TableContents"/>
              <w:bidi w:val="0"/>
              <w:spacing w:before="0" w:after="283"/>
              <w:jc w:val="right"/>
              <w:rPr/>
            </w:pPr>
            <w:r>
              <w:rPr/>
              <w:t>3,272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(2,672,703</w:t>
            </w:r>
          </w:p>
        </w:tc>
        <w:tc>
          <w:tcPr>
            <w:tcW w:w="112" w:type="dxa"/>
            <w:tcBorders/>
            <w:shd w:fill="FFFFFF" w:val="clear"/>
            <w:tcMar>
              <w:bottom w:w="0" w:type="dxa"/>
            </w:tcMar>
            <w:vAlign w:val="center"/>
          </w:tcPr>
          <w:p>
            <w:pPr>
              <w:pStyle w:val="TableContents"/>
              <w:bidi w:val="0"/>
              <w:spacing w:before="0" w:after="283"/>
              <w:ind w:left="0" w:right="0" w:hanging="0"/>
              <w:jc w:val="left"/>
              <w:rPr/>
            </w:pPr>
            <w:r>
              <w:rPr/>
              <w:t>)</w:t>
            </w:r>
          </w:p>
        </w:tc>
      </w:tr>
      <w:tr>
        <w:trPr/>
        <w:tc>
          <w:tcPr>
            <w:tcW w:w="3087" w:type="dxa"/>
            <w:tcBorders/>
            <w:shd w:fill="CCEEFF" w:val="clear"/>
            <w:tcMar>
              <w:bottom w:w="0" w:type="dxa"/>
            </w:tcMar>
            <w:vAlign w:val="center"/>
          </w:tcPr>
          <w:p>
            <w:pPr>
              <w:pStyle w:val="TableContents"/>
              <w:bidi w:val="0"/>
              <w:spacing w:before="0" w:after="283"/>
              <w:jc w:val="left"/>
              <w:rPr>
                <w:b/>
              </w:rPr>
            </w:pPr>
            <w:r>
              <w:rPr>
                <w:b/>
              </w:rPr>
              <w:t>Operating Segment Profit/(Loss)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jc w:val="right"/>
              <w:rPr/>
            </w:pPr>
            <w:r>
              <w:rPr/>
              <w:t>913,551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25,576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(33,879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905,248</w:t>
            </w:r>
          </w:p>
        </w:tc>
        <w:tc>
          <w:tcPr>
            <w:tcW w:w="112"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08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Unallocated expenses</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vAlign w:val="center"/>
          </w:tcPr>
          <w:p>
            <w:pPr>
              <w:pStyle w:val="TableContents"/>
              <w:bidi w:val="0"/>
              <w:spacing w:before="0" w:after="283"/>
              <w:jc w:val="left"/>
              <w:rPr/>
            </w:pPr>
            <w:r>
              <w:rPr/>
              <w:t> </w:t>
            </w:r>
          </w:p>
        </w:tc>
        <w:tc>
          <w:tcPr>
            <w:tcW w:w="1575"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bottom w:val="single" w:sz="8" w:space="0" w:color="000000"/>
            </w:tcBorders>
            <w:shd w:fill="FFFFFF" w:val="clear"/>
            <w:vAlign w:val="center"/>
          </w:tcPr>
          <w:p>
            <w:pPr>
              <w:pStyle w:val="TableContents"/>
              <w:bidi w:val="0"/>
              <w:spacing w:before="0" w:after="283"/>
              <w:jc w:val="left"/>
              <w:rPr/>
            </w:pPr>
            <w:r>
              <w:rPr/>
              <w:t> </w:t>
            </w:r>
          </w:p>
        </w:tc>
        <w:tc>
          <w:tcPr>
            <w:tcW w:w="1101"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(89,729</w:t>
            </w:r>
          </w:p>
        </w:tc>
        <w:tc>
          <w:tcPr>
            <w:tcW w:w="112" w:type="dxa"/>
            <w:tcBorders/>
            <w:shd w:fill="FFFFFF" w:val="clear"/>
            <w:tcMar>
              <w:bottom w:w="0" w:type="dxa"/>
            </w:tcMar>
            <w:vAlign w:val="center"/>
          </w:tcPr>
          <w:p>
            <w:pPr>
              <w:pStyle w:val="TableContents"/>
              <w:bidi w:val="0"/>
              <w:spacing w:before="0" w:after="283"/>
              <w:ind w:left="0" w:right="0" w:hanging="0"/>
              <w:jc w:val="left"/>
              <w:rPr/>
            </w:pPr>
            <w:r>
              <w:rPr/>
              <w:t>)</w:t>
            </w:r>
          </w:p>
        </w:tc>
      </w:tr>
      <w:tr>
        <w:trPr/>
        <w:tc>
          <w:tcPr>
            <w:tcW w:w="3087" w:type="dxa"/>
            <w:tcBorders/>
            <w:shd w:fill="CCEEFF" w:val="clear"/>
            <w:tcMar>
              <w:bottom w:w="0" w:type="dxa"/>
            </w:tcMar>
            <w:vAlign w:val="center"/>
          </w:tcPr>
          <w:p>
            <w:pPr>
              <w:pStyle w:val="TableContents"/>
              <w:bidi w:val="0"/>
              <w:spacing w:before="0" w:after="283"/>
              <w:jc w:val="left"/>
              <w:rPr>
                <w:b/>
              </w:rPr>
            </w:pPr>
            <w:r>
              <w:rPr>
                <w:b/>
              </w:rPr>
              <w:t>Operating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815,519</w:t>
            </w:r>
          </w:p>
        </w:tc>
        <w:tc>
          <w:tcPr>
            <w:tcW w:w="11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“Overseas Markets” includes Indonesia, the Philippines and Australia.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“Others” includes a combination of multiple business activities that each does not meet the quantitative thresholds to qualify as reportable segments.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significant expense categories and amounts align with the segment-level information that is regularly provided to the CODM.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“Operating Expenses” includes Origination, servicing expenses and other costs of revenue, Sales and marketing expenses, General and administrative expenses, Research and development expenses, Credit losses for quality assurance commitment, Provision for loans receivable and Provision for accounts receivable and contract assets.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Unallocated expenses are mainly related to share-based compensation, impairment of goodwill of prior acquisitions, and other miscellaneous items that are not allocated to segments. These expenses are excluded from segment results as they are not reviewed by the CODM as part of segment performance.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Segment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22"/>
        <w:gridCol w:w="60"/>
        <w:gridCol w:w="103"/>
        <w:gridCol w:w="1397"/>
        <w:gridCol w:w="60"/>
        <w:gridCol w:w="60"/>
        <w:gridCol w:w="116"/>
        <w:gridCol w:w="1335"/>
        <w:gridCol w:w="60"/>
        <w:gridCol w:w="60"/>
        <w:gridCol w:w="60"/>
        <w:gridCol w:w="755"/>
        <w:gridCol w:w="95"/>
        <w:gridCol w:w="60"/>
        <w:gridCol w:w="112"/>
        <w:gridCol w:w="1656"/>
        <w:gridCol w:w="95"/>
        <w:gridCol w:w="60"/>
        <w:gridCol w:w="60"/>
        <w:gridCol w:w="800"/>
        <w:gridCol w:w="79"/>
      </w:tblGrid>
      <w:tr>
        <w:trPr/>
        <w:tc>
          <w:tcPr>
            <w:tcW w:w="3122" w:type="dxa"/>
            <w:tcBorders>
              <w:bottom w:val="single" w:sz="8" w:space="0" w:color="000000"/>
            </w:tcBorders>
            <w:vAlign w:val="center"/>
          </w:tcPr>
          <w:p>
            <w:pPr>
              <w:pStyle w:val="TableContents"/>
              <w:bidi w:val="0"/>
              <w:spacing w:before="0" w:after="283"/>
              <w:jc w:val="left"/>
              <w:rPr>
                <w:b/>
              </w:rPr>
            </w:pPr>
            <w:r>
              <w:rPr>
                <w:b/>
              </w:rPr>
              <w:t>For the Three Months Ended June 30, 2026</w:t>
            </w:r>
          </w:p>
        </w:tc>
        <w:tc>
          <w:tcPr>
            <w:tcW w:w="60" w:type="dxa"/>
            <w:tcBorders/>
            <w:tcMar>
              <w:bottom w:w="0" w:type="dxa"/>
            </w:tcMar>
            <w:vAlign w:val="center"/>
          </w:tcPr>
          <w:p>
            <w:pPr>
              <w:pStyle w:val="TableContents"/>
              <w:bidi w:val="0"/>
              <w:spacing w:before="0" w:after="283"/>
              <w:jc w:val="left"/>
              <w:rPr/>
            </w:pPr>
            <w:r>
              <w:rPr/>
              <w:t> </w:t>
            </w:r>
          </w:p>
        </w:tc>
        <w:tc>
          <w:tcPr>
            <w:tcW w:w="1500" w:type="dxa"/>
            <w:gridSpan w:val="2"/>
            <w:tcBorders>
              <w:bottom w:val="single" w:sz="8" w:space="0" w:color="000000"/>
            </w:tcBorders>
            <w:vAlign w:val="center"/>
          </w:tcPr>
          <w:p>
            <w:pPr>
              <w:pStyle w:val="TableContents"/>
              <w:bidi w:val="0"/>
              <w:spacing w:before="0" w:after="283"/>
              <w:jc w:val="center"/>
              <w:rPr>
                <w:b/>
              </w:rPr>
            </w:pPr>
            <w:r>
              <w:rPr>
                <w:b/>
              </w:rPr>
              <w:t>Chinese Mainland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1" w:type="dxa"/>
            <w:gridSpan w:val="2"/>
            <w:tcBorders>
              <w:bottom w:val="single" w:sz="8" w:space="0" w:color="000000"/>
            </w:tcBorders>
            <w:vAlign w:val="center"/>
          </w:tcPr>
          <w:p>
            <w:pPr>
              <w:pStyle w:val="TableContents"/>
              <w:bidi w:val="0"/>
              <w:spacing w:before="0" w:after="283"/>
              <w:jc w:val="center"/>
              <w:rPr>
                <w:b/>
              </w:rPr>
            </w:pPr>
            <w:r>
              <w:rPr>
                <w:b/>
              </w:rPr>
              <w:t>Overseas Markets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Others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8" w:type="dxa"/>
            <w:gridSpan w:val="2"/>
            <w:tcBorders>
              <w:bottom w:val="single" w:sz="8" w:space="0" w:color="000000"/>
            </w:tcBorders>
            <w:vAlign w:val="center"/>
          </w:tcPr>
          <w:p>
            <w:pPr>
              <w:pStyle w:val="TableContents"/>
              <w:bidi w:val="0"/>
              <w:spacing w:before="0" w:after="283"/>
              <w:jc w:val="center"/>
              <w:rPr>
                <w:b/>
              </w:rPr>
            </w:pPr>
            <w:r>
              <w:rPr>
                <w:b/>
              </w:rPr>
              <w:t>Unallocated expenses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Total</w:t>
            </w:r>
          </w:p>
        </w:tc>
        <w:tc>
          <w:tcPr>
            <w:tcW w:w="79" w:type="dxa"/>
            <w:tcBorders/>
            <w:tcMar>
              <w:bottom w:w="0" w:type="dxa"/>
            </w:tcMar>
            <w:vAlign w:val="center"/>
          </w:tcPr>
          <w:p>
            <w:pPr>
              <w:pStyle w:val="TableContents"/>
              <w:bidi w:val="0"/>
              <w:spacing w:before="0" w:after="283"/>
              <w:jc w:val="left"/>
              <w:rPr/>
            </w:pPr>
            <w:r>
              <w:rPr/>
              <w:t> </w:t>
            </w:r>
          </w:p>
        </w:tc>
      </w:tr>
      <w:tr>
        <w:trPr/>
        <w:tc>
          <w:tcPr>
            <w:tcW w:w="312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gridSpan w:val="2"/>
            <w:tcBorders/>
            <w:tcMar>
              <w:bottom w:w="0" w:type="dxa"/>
            </w:tcMar>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1" w:type="dxa"/>
            <w:gridSpan w:val="2"/>
            <w:tcBorders/>
            <w:tcMar>
              <w:bottom w:w="0" w:type="dxa"/>
            </w:tcMar>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center"/>
              <w:rPr>
                <w:b/>
              </w:rPr>
            </w:pPr>
            <w:r>
              <w:rPr>
                <w:b/>
              </w:rPr>
              <w:t>RMB</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8" w:type="dxa"/>
            <w:gridSpan w:val="2"/>
            <w:tcBorders/>
            <w:tcMar>
              <w:bottom w:w="0" w:type="dxa"/>
            </w:tcMar>
            <w:vAlign w:val="center"/>
          </w:tcPr>
          <w:p>
            <w:pPr>
              <w:pStyle w:val="TableContents"/>
              <w:bidi w:val="0"/>
              <w:spacing w:before="0" w:after="283"/>
              <w:jc w:val="center"/>
              <w:rPr>
                <w:b/>
              </w:rPr>
            </w:pPr>
            <w:r>
              <w:rPr>
                <w:b/>
              </w:rPr>
              <w:t>RMB</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b/>
              </w:rPr>
            </w:pPr>
            <w:r>
              <w:rPr>
                <w:b/>
              </w:rPr>
              <w:t>RMB</w:t>
            </w:r>
          </w:p>
        </w:tc>
        <w:tc>
          <w:tcPr>
            <w:tcW w:w="79" w:type="dxa"/>
            <w:tcBorders/>
            <w:tcMar>
              <w:bottom w:w="0" w:type="dxa"/>
            </w:tcMar>
            <w:vAlign w:val="center"/>
          </w:tcPr>
          <w:p>
            <w:pPr>
              <w:pStyle w:val="TableContents"/>
              <w:bidi w:val="0"/>
              <w:spacing w:before="0" w:after="283"/>
              <w:jc w:val="left"/>
              <w:rPr/>
            </w:pPr>
            <w:r>
              <w:rPr/>
              <w:t> </w:t>
            </w:r>
          </w:p>
        </w:tc>
      </w:tr>
      <w:tr>
        <w:trPr/>
        <w:tc>
          <w:tcPr>
            <w:tcW w:w="3122" w:type="dxa"/>
            <w:tcBorders/>
            <w:shd w:fill="CCEEFF" w:val="clear"/>
            <w:tcMar>
              <w:bottom w:w="0" w:type="dxa"/>
            </w:tcMar>
            <w:vAlign w:val="center"/>
          </w:tcPr>
          <w:p>
            <w:pPr>
              <w:pStyle w:val="TableContents"/>
              <w:bidi w:val="0"/>
              <w:spacing w:before="0" w:after="283"/>
              <w:jc w:val="left"/>
              <w:rPr>
                <w:b/>
              </w:rPr>
            </w:pPr>
            <w:r>
              <w:rPr>
                <w:b/>
              </w:rPr>
              <w:t>Operating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97" w:type="dxa"/>
            <w:tcBorders/>
            <w:shd w:fill="CCEEFF" w:val="clear"/>
            <w:tcMar>
              <w:bottom w:w="0" w:type="dxa"/>
            </w:tcMar>
            <w:vAlign w:val="center"/>
          </w:tcPr>
          <w:p>
            <w:pPr>
              <w:pStyle w:val="TableContents"/>
              <w:bidi w:val="0"/>
              <w:spacing w:before="0" w:after="283"/>
              <w:jc w:val="right"/>
              <w:rPr/>
            </w:pPr>
            <w:r>
              <w:rPr/>
              <w:t>624,761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53,635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(42,521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656" w:type="dxa"/>
            <w:tcBorders/>
            <w:shd w:fill="CCEEFF" w:val="clear"/>
            <w:tcMar>
              <w:bottom w:w="0" w:type="dxa"/>
            </w:tcMar>
            <w:vAlign w:val="center"/>
          </w:tcPr>
          <w:p>
            <w:pPr>
              <w:pStyle w:val="TableContents"/>
              <w:bidi w:val="0"/>
              <w:spacing w:before="0" w:after="283"/>
              <w:jc w:val="right"/>
              <w:rPr/>
            </w:pPr>
            <w:r>
              <w:rPr/>
              <w:t>(106,626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529,249</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22" w:type="dxa"/>
            <w:tcBorders/>
            <w:shd w:fill="FFFFFF" w:val="clear"/>
            <w:tcMar>
              <w:bottom w:w="0" w:type="dxa"/>
            </w:tcMar>
            <w:vAlign w:val="center"/>
          </w:tcPr>
          <w:p>
            <w:pPr>
              <w:pStyle w:val="TableContents"/>
              <w:bidi w:val="0"/>
              <w:spacing w:before="0" w:after="283"/>
              <w:jc w:val="left"/>
              <w:rPr/>
            </w:pPr>
            <w:r>
              <w:rPr/>
              <w:t>Add: 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97" w:type="dxa"/>
            <w:tcBorders/>
            <w:shd w:fill="FFFFFF" w:val="clear"/>
            <w:tcMar>
              <w:bottom w:w="0" w:type="dxa"/>
            </w:tcMar>
            <w:vAlign w:val="center"/>
          </w:tcPr>
          <w:p>
            <w:pPr>
              <w:pStyle w:val="TableContents"/>
              <w:bidi w:val="0"/>
              <w:spacing w:before="0" w:after="283"/>
              <w:jc w:val="right"/>
              <w:rPr/>
            </w:pPr>
            <w:r>
              <w:rPr/>
              <w:t>17,180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1,625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65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19,072</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22" w:type="dxa"/>
            <w:tcBorders/>
            <w:shd w:fill="CCEEFF" w:val="clear"/>
            <w:tcMar>
              <w:bottom w:w="0" w:type="dxa"/>
            </w:tcMar>
            <w:vAlign w:val="center"/>
          </w:tcPr>
          <w:p>
            <w:pPr>
              <w:pStyle w:val="TableContents"/>
              <w:bidi w:val="0"/>
              <w:spacing w:before="0" w:after="283"/>
              <w:jc w:val="left"/>
              <w:rPr/>
            </w:pPr>
            <w:r>
              <w:rPr/>
              <w:t>Add: Share-based compensation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8" w:space="0" w:color="000000"/>
            </w:tcBorders>
            <w:shd w:fill="CCEEFF" w:val="clear"/>
            <w:vAlign w:val="center"/>
          </w:tcPr>
          <w:p>
            <w:pPr>
              <w:pStyle w:val="TableContents"/>
              <w:bidi w:val="0"/>
              <w:spacing w:before="0" w:after="283"/>
              <w:jc w:val="left"/>
              <w:rPr/>
            </w:pPr>
            <w:r>
              <w:rPr/>
              <w:t> </w:t>
            </w:r>
          </w:p>
        </w:tc>
        <w:tc>
          <w:tcPr>
            <w:tcW w:w="139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bottom w:val="single" w:sz="8" w:space="0" w:color="000000"/>
            </w:tcBorders>
            <w:shd w:fill="CCEEFF" w:val="clear"/>
            <w:vAlign w:val="center"/>
          </w:tcPr>
          <w:p>
            <w:pPr>
              <w:pStyle w:val="TableContents"/>
              <w:bidi w:val="0"/>
              <w:spacing w:before="0" w:after="283"/>
              <w:jc w:val="left"/>
              <w:rPr/>
            </w:pPr>
            <w:r>
              <w:rPr/>
              <w:t> </w:t>
            </w:r>
          </w:p>
        </w:tc>
        <w:tc>
          <w:tcPr>
            <w:tcW w:w="1335"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bottom w:val="single" w:sz="8" w:space="0" w:color="000000"/>
            </w:tcBorders>
            <w:shd w:fill="CCEEFF" w:val="clear"/>
            <w:vAlign w:val="center"/>
          </w:tcPr>
          <w:p>
            <w:pPr>
              <w:pStyle w:val="TableContents"/>
              <w:bidi w:val="0"/>
              <w:spacing w:before="0" w:after="283"/>
              <w:jc w:val="left"/>
              <w:rPr/>
            </w:pPr>
            <w:r>
              <w:rPr/>
              <w:t> </w:t>
            </w:r>
          </w:p>
        </w:tc>
        <w:tc>
          <w:tcPr>
            <w:tcW w:w="1656" w:type="dxa"/>
            <w:tcBorders>
              <w:bottom w:val="single" w:sz="8" w:space="0" w:color="000000"/>
            </w:tcBorders>
            <w:shd w:fill="CCEEFF" w:val="clear"/>
            <w:vAlign w:val="center"/>
          </w:tcPr>
          <w:p>
            <w:pPr>
              <w:pStyle w:val="TableContents"/>
              <w:bidi w:val="0"/>
              <w:spacing w:before="0" w:after="283"/>
              <w:jc w:val="right"/>
              <w:rPr/>
            </w:pPr>
            <w:r>
              <w:rPr/>
              <w:t>42,866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42,866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22" w:type="dxa"/>
            <w:tcBorders/>
            <w:shd w:fill="FFFFFF" w:val="clear"/>
            <w:tcMar>
              <w:bottom w:w="0" w:type="dxa"/>
            </w:tcMar>
            <w:vAlign w:val="center"/>
          </w:tcPr>
          <w:p>
            <w:pPr>
              <w:pStyle w:val="TableContents"/>
              <w:bidi w:val="0"/>
              <w:spacing w:before="0" w:after="283"/>
              <w:jc w:val="left"/>
              <w:rPr>
                <w:b/>
              </w:rPr>
            </w:pPr>
            <w:r>
              <w:rPr>
                <w:b/>
              </w:rPr>
              <w:t>Non-GAAP 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97" w:type="dxa"/>
            <w:tcBorders/>
            <w:shd w:fill="FFFFFF" w:val="clear"/>
            <w:tcMar>
              <w:bottom w:w="0" w:type="dxa"/>
            </w:tcMar>
            <w:vAlign w:val="center"/>
          </w:tcPr>
          <w:p>
            <w:pPr>
              <w:pStyle w:val="TableContents"/>
              <w:bidi w:val="0"/>
              <w:spacing w:before="0" w:after="283"/>
              <w:jc w:val="right"/>
              <w:rPr/>
            </w:pPr>
            <w:r>
              <w:rPr/>
              <w:t>641,941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55,260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(42,254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656" w:type="dxa"/>
            <w:tcBorders/>
            <w:shd w:fill="FFFFFF" w:val="clear"/>
            <w:tcMar>
              <w:bottom w:w="0" w:type="dxa"/>
            </w:tcMar>
            <w:vAlign w:val="center"/>
          </w:tcPr>
          <w:p>
            <w:pPr>
              <w:pStyle w:val="TableContents"/>
              <w:bidi w:val="0"/>
              <w:spacing w:before="0" w:after="283"/>
              <w:jc w:val="right"/>
              <w:rPr/>
            </w:pPr>
            <w:r>
              <w:rPr/>
              <w:t>(63,760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591,187</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22"/>
        <w:gridCol w:w="60"/>
        <w:gridCol w:w="103"/>
        <w:gridCol w:w="1397"/>
        <w:gridCol w:w="60"/>
        <w:gridCol w:w="60"/>
        <w:gridCol w:w="116"/>
        <w:gridCol w:w="1335"/>
        <w:gridCol w:w="60"/>
        <w:gridCol w:w="60"/>
        <w:gridCol w:w="60"/>
        <w:gridCol w:w="755"/>
        <w:gridCol w:w="95"/>
        <w:gridCol w:w="60"/>
        <w:gridCol w:w="128"/>
        <w:gridCol w:w="1640"/>
        <w:gridCol w:w="95"/>
        <w:gridCol w:w="60"/>
        <w:gridCol w:w="60"/>
        <w:gridCol w:w="800"/>
        <w:gridCol w:w="79"/>
      </w:tblGrid>
      <w:tr>
        <w:trPr/>
        <w:tc>
          <w:tcPr>
            <w:tcW w:w="3122" w:type="dxa"/>
            <w:tcBorders>
              <w:bottom w:val="single" w:sz="8" w:space="0" w:color="000000"/>
            </w:tcBorders>
            <w:vAlign w:val="center"/>
          </w:tcPr>
          <w:p>
            <w:pPr>
              <w:pStyle w:val="TableContents"/>
              <w:bidi w:val="0"/>
              <w:spacing w:before="0" w:after="283"/>
              <w:jc w:val="left"/>
              <w:rPr>
                <w:b/>
              </w:rPr>
            </w:pPr>
            <w:r>
              <w:rPr>
                <w:b/>
              </w:rPr>
              <w:t>For the Three Months Ended June 30, 2025</w:t>
            </w:r>
          </w:p>
        </w:tc>
        <w:tc>
          <w:tcPr>
            <w:tcW w:w="60" w:type="dxa"/>
            <w:tcBorders/>
            <w:tcMar>
              <w:bottom w:w="0" w:type="dxa"/>
            </w:tcMar>
            <w:vAlign w:val="center"/>
          </w:tcPr>
          <w:p>
            <w:pPr>
              <w:pStyle w:val="TableContents"/>
              <w:bidi w:val="0"/>
              <w:spacing w:before="0" w:after="283"/>
              <w:jc w:val="left"/>
              <w:rPr/>
            </w:pPr>
            <w:r>
              <w:rPr/>
              <w:t> </w:t>
            </w:r>
          </w:p>
        </w:tc>
        <w:tc>
          <w:tcPr>
            <w:tcW w:w="1500" w:type="dxa"/>
            <w:gridSpan w:val="2"/>
            <w:tcBorders>
              <w:bottom w:val="single" w:sz="8" w:space="0" w:color="000000"/>
            </w:tcBorders>
            <w:vAlign w:val="center"/>
          </w:tcPr>
          <w:p>
            <w:pPr>
              <w:pStyle w:val="TableContents"/>
              <w:bidi w:val="0"/>
              <w:spacing w:before="0" w:after="283"/>
              <w:jc w:val="center"/>
              <w:rPr>
                <w:b/>
              </w:rPr>
            </w:pPr>
            <w:r>
              <w:rPr>
                <w:b/>
              </w:rPr>
              <w:t>Chinese Mainland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1" w:type="dxa"/>
            <w:gridSpan w:val="2"/>
            <w:tcBorders>
              <w:bottom w:val="single" w:sz="8" w:space="0" w:color="000000"/>
            </w:tcBorders>
            <w:vAlign w:val="center"/>
          </w:tcPr>
          <w:p>
            <w:pPr>
              <w:pStyle w:val="TableContents"/>
              <w:bidi w:val="0"/>
              <w:spacing w:before="0" w:after="283"/>
              <w:jc w:val="center"/>
              <w:rPr>
                <w:b/>
              </w:rPr>
            </w:pPr>
            <w:r>
              <w:rPr>
                <w:b/>
              </w:rPr>
              <w:t>Overseas Markets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Others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8" w:type="dxa"/>
            <w:gridSpan w:val="2"/>
            <w:tcBorders>
              <w:bottom w:val="single" w:sz="8" w:space="0" w:color="000000"/>
            </w:tcBorders>
            <w:vAlign w:val="center"/>
          </w:tcPr>
          <w:p>
            <w:pPr>
              <w:pStyle w:val="TableContents"/>
              <w:bidi w:val="0"/>
              <w:spacing w:before="0" w:after="283"/>
              <w:jc w:val="center"/>
              <w:rPr>
                <w:b/>
              </w:rPr>
            </w:pPr>
            <w:r>
              <w:rPr>
                <w:b/>
              </w:rPr>
              <w:t>Unallocated expenses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Total</w:t>
            </w:r>
          </w:p>
        </w:tc>
        <w:tc>
          <w:tcPr>
            <w:tcW w:w="79" w:type="dxa"/>
            <w:tcBorders/>
            <w:tcMar>
              <w:bottom w:w="0" w:type="dxa"/>
            </w:tcMar>
            <w:vAlign w:val="center"/>
          </w:tcPr>
          <w:p>
            <w:pPr>
              <w:pStyle w:val="TableContents"/>
              <w:bidi w:val="0"/>
              <w:spacing w:before="0" w:after="283"/>
              <w:jc w:val="left"/>
              <w:rPr/>
            </w:pPr>
            <w:r>
              <w:rPr/>
              <w:t> </w:t>
            </w:r>
          </w:p>
        </w:tc>
      </w:tr>
      <w:tr>
        <w:trPr/>
        <w:tc>
          <w:tcPr>
            <w:tcW w:w="312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gridSpan w:val="2"/>
            <w:tcBorders/>
            <w:tcMar>
              <w:bottom w:w="0" w:type="dxa"/>
            </w:tcMar>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1" w:type="dxa"/>
            <w:gridSpan w:val="2"/>
            <w:tcBorders/>
            <w:tcMar>
              <w:bottom w:w="0" w:type="dxa"/>
            </w:tcMar>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center"/>
              <w:rPr>
                <w:b/>
              </w:rPr>
            </w:pPr>
            <w:r>
              <w:rPr>
                <w:b/>
              </w:rPr>
              <w:t>RMB</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8" w:type="dxa"/>
            <w:gridSpan w:val="2"/>
            <w:tcBorders/>
            <w:tcMar>
              <w:bottom w:w="0" w:type="dxa"/>
            </w:tcMar>
            <w:vAlign w:val="center"/>
          </w:tcPr>
          <w:p>
            <w:pPr>
              <w:pStyle w:val="TableContents"/>
              <w:bidi w:val="0"/>
              <w:spacing w:before="0" w:after="283"/>
              <w:jc w:val="center"/>
              <w:rPr>
                <w:b/>
              </w:rPr>
            </w:pPr>
            <w:r>
              <w:rPr>
                <w:b/>
              </w:rPr>
              <w:t>RMB</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b/>
              </w:rPr>
            </w:pPr>
            <w:r>
              <w:rPr>
                <w:b/>
              </w:rPr>
              <w:t>RMB</w:t>
            </w:r>
          </w:p>
        </w:tc>
        <w:tc>
          <w:tcPr>
            <w:tcW w:w="79" w:type="dxa"/>
            <w:tcBorders/>
            <w:tcMar>
              <w:bottom w:w="0" w:type="dxa"/>
            </w:tcMar>
            <w:vAlign w:val="center"/>
          </w:tcPr>
          <w:p>
            <w:pPr>
              <w:pStyle w:val="TableContents"/>
              <w:bidi w:val="0"/>
              <w:spacing w:before="0" w:after="283"/>
              <w:jc w:val="left"/>
              <w:rPr/>
            </w:pPr>
            <w:r>
              <w:rPr/>
              <w:t> </w:t>
            </w:r>
          </w:p>
        </w:tc>
      </w:tr>
      <w:tr>
        <w:trPr/>
        <w:tc>
          <w:tcPr>
            <w:tcW w:w="3122" w:type="dxa"/>
            <w:tcBorders/>
            <w:shd w:fill="CCEEFF" w:val="clear"/>
            <w:tcMar>
              <w:bottom w:w="0" w:type="dxa"/>
            </w:tcMar>
            <w:vAlign w:val="center"/>
          </w:tcPr>
          <w:p>
            <w:pPr>
              <w:pStyle w:val="TableContents"/>
              <w:bidi w:val="0"/>
              <w:spacing w:before="0" w:after="283"/>
              <w:jc w:val="left"/>
              <w:rPr>
                <w:b/>
              </w:rPr>
            </w:pPr>
            <w:r>
              <w:rPr>
                <w:b/>
              </w:rPr>
              <w:t>Operating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97" w:type="dxa"/>
            <w:tcBorders/>
            <w:shd w:fill="CCEEFF" w:val="clear"/>
            <w:tcMar>
              <w:bottom w:w="0" w:type="dxa"/>
            </w:tcMar>
            <w:vAlign w:val="center"/>
          </w:tcPr>
          <w:p>
            <w:pPr>
              <w:pStyle w:val="TableContents"/>
              <w:bidi w:val="0"/>
              <w:spacing w:before="0" w:after="283"/>
              <w:jc w:val="right"/>
              <w:rPr/>
            </w:pPr>
            <w:r>
              <w:rPr/>
              <w:t>913,551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25,576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(33,879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pPr>
            <w:r>
              <w:rPr/>
              <w:t>(89,729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815,519</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22" w:type="dxa"/>
            <w:tcBorders/>
            <w:shd w:fill="FFFFFF" w:val="clear"/>
            <w:tcMar>
              <w:bottom w:w="0" w:type="dxa"/>
            </w:tcMar>
            <w:vAlign w:val="center"/>
          </w:tcPr>
          <w:p>
            <w:pPr>
              <w:pStyle w:val="TableContents"/>
              <w:bidi w:val="0"/>
              <w:spacing w:before="0" w:after="283"/>
              <w:jc w:val="left"/>
              <w:rPr/>
            </w:pPr>
            <w:r>
              <w:rPr/>
              <w:t>Add: 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97" w:type="dxa"/>
            <w:tcBorders/>
            <w:shd w:fill="FFFFFF" w:val="clear"/>
            <w:tcMar>
              <w:bottom w:w="0" w:type="dxa"/>
            </w:tcMar>
            <w:vAlign w:val="center"/>
          </w:tcPr>
          <w:p>
            <w:pPr>
              <w:pStyle w:val="TableContents"/>
              <w:bidi w:val="0"/>
              <w:spacing w:before="0" w:after="283"/>
              <w:jc w:val="right"/>
              <w:rPr/>
            </w:pPr>
            <w:r>
              <w:rPr/>
              <w:t>17,035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1,020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125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18,180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22" w:type="dxa"/>
            <w:tcBorders/>
            <w:shd w:fill="CCEEFF" w:val="clear"/>
            <w:tcMar>
              <w:bottom w:w="0" w:type="dxa"/>
            </w:tcMar>
            <w:vAlign w:val="center"/>
          </w:tcPr>
          <w:p>
            <w:pPr>
              <w:pStyle w:val="TableContents"/>
              <w:bidi w:val="0"/>
              <w:spacing w:before="0" w:after="283"/>
              <w:jc w:val="left"/>
              <w:rPr/>
            </w:pPr>
            <w:r>
              <w:rPr/>
              <w:t>Add: Share-based compensation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8" w:space="0" w:color="000000"/>
            </w:tcBorders>
            <w:shd w:fill="CCEEFF" w:val="clear"/>
            <w:vAlign w:val="center"/>
          </w:tcPr>
          <w:p>
            <w:pPr>
              <w:pStyle w:val="TableContents"/>
              <w:bidi w:val="0"/>
              <w:spacing w:before="0" w:after="283"/>
              <w:jc w:val="left"/>
              <w:rPr/>
            </w:pPr>
            <w:r>
              <w:rPr/>
              <w:t> </w:t>
            </w:r>
          </w:p>
        </w:tc>
        <w:tc>
          <w:tcPr>
            <w:tcW w:w="139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bottom w:val="single" w:sz="8" w:space="0" w:color="000000"/>
            </w:tcBorders>
            <w:shd w:fill="CCEEFF" w:val="clear"/>
            <w:vAlign w:val="center"/>
          </w:tcPr>
          <w:p>
            <w:pPr>
              <w:pStyle w:val="TableContents"/>
              <w:bidi w:val="0"/>
              <w:spacing w:before="0" w:after="283"/>
              <w:jc w:val="left"/>
              <w:rPr/>
            </w:pPr>
            <w:r>
              <w:rPr/>
              <w:t> </w:t>
            </w:r>
          </w:p>
        </w:tc>
        <w:tc>
          <w:tcPr>
            <w:tcW w:w="1335"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bottom w:val="single" w:sz="8" w:space="0" w:color="000000"/>
            </w:tcBorders>
            <w:shd w:fill="CCEEFF" w:val="clear"/>
            <w:vAlign w:val="center"/>
          </w:tcPr>
          <w:p>
            <w:pPr>
              <w:pStyle w:val="TableContents"/>
              <w:bidi w:val="0"/>
              <w:spacing w:before="0" w:after="283"/>
              <w:jc w:val="left"/>
              <w:rPr/>
            </w:pPr>
            <w:r>
              <w:rPr/>
              <w:t> </w:t>
            </w:r>
          </w:p>
        </w:tc>
        <w:tc>
          <w:tcPr>
            <w:tcW w:w="1640" w:type="dxa"/>
            <w:tcBorders>
              <w:bottom w:val="single" w:sz="8" w:space="0" w:color="000000"/>
            </w:tcBorders>
            <w:shd w:fill="CCEEFF" w:val="clear"/>
            <w:vAlign w:val="center"/>
          </w:tcPr>
          <w:p>
            <w:pPr>
              <w:pStyle w:val="TableContents"/>
              <w:bidi w:val="0"/>
              <w:spacing w:before="0" w:after="283"/>
              <w:jc w:val="right"/>
              <w:rPr/>
            </w:pPr>
            <w:r>
              <w:rPr/>
              <w:t>39,318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39,318</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22" w:type="dxa"/>
            <w:tcBorders/>
            <w:shd w:fill="FFFFFF" w:val="clear"/>
            <w:tcMar>
              <w:bottom w:w="0" w:type="dxa"/>
            </w:tcMar>
            <w:vAlign w:val="center"/>
          </w:tcPr>
          <w:p>
            <w:pPr>
              <w:pStyle w:val="TableContents"/>
              <w:bidi w:val="0"/>
              <w:spacing w:before="0" w:after="283"/>
              <w:jc w:val="left"/>
              <w:rPr>
                <w:b/>
              </w:rPr>
            </w:pPr>
            <w:r>
              <w:rPr>
                <w:b/>
              </w:rPr>
              <w:t>Non-GAAP 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97" w:type="dxa"/>
            <w:tcBorders/>
            <w:shd w:fill="FFFFFF" w:val="clear"/>
            <w:tcMar>
              <w:bottom w:w="0" w:type="dxa"/>
            </w:tcMar>
            <w:vAlign w:val="center"/>
          </w:tcPr>
          <w:p>
            <w:pPr>
              <w:pStyle w:val="TableContents"/>
              <w:bidi w:val="0"/>
              <w:spacing w:before="0" w:after="283"/>
              <w:jc w:val="right"/>
              <w:rPr/>
            </w:pPr>
            <w:r>
              <w:rPr/>
              <w:t>930,586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26,596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(33,754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pPr>
            <w:r>
              <w:rPr/>
              <w:t>(50,411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873,017</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Non-GAAP Adjusted EBITDA” represents operating profit (loss) plus (a) depreciation and amortization expenses and (b) share-based compensation expenses.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14</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5748</Words>
  <Characters>33090</Characters>
  <CharactersWithSpaces>39938</CharactersWithSpaces>
  <Paragraphs>3380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